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F01CD">
      <w:pPr>
        <w:bidi w:val="0"/>
        <w:jc w:val="center"/>
        <w:rPr>
          <w:rFonts w:hint="eastAsia"/>
          <w:b/>
          <w:bCs/>
          <w:sz w:val="32"/>
          <w:szCs w:val="32"/>
          <w:lang w:eastAsia="zh-Hans"/>
        </w:rPr>
      </w:pPr>
      <w:r>
        <w:rPr>
          <w:rFonts w:hint="eastAsia"/>
          <w:b/>
          <w:bCs/>
          <w:sz w:val="32"/>
          <w:szCs w:val="32"/>
          <w:lang w:val="en-US" w:eastAsia="zh-CN"/>
        </w:rPr>
        <w:t>厦门市第三医院就医环境改造项目</w:t>
      </w:r>
    </w:p>
    <w:p w14:paraId="1C676810">
      <w:pPr>
        <w:bidi w:val="0"/>
        <w:jc w:val="center"/>
        <w:rPr>
          <w:rFonts w:hint="eastAsia"/>
          <w:b/>
          <w:bCs/>
          <w:sz w:val="32"/>
          <w:szCs w:val="32"/>
          <w:lang w:eastAsia="zh-Hans"/>
        </w:rPr>
      </w:pPr>
      <w:r>
        <w:rPr>
          <w:rFonts w:hint="eastAsia"/>
          <w:b/>
          <w:bCs/>
          <w:sz w:val="32"/>
          <w:szCs w:val="32"/>
          <w:lang w:eastAsia="zh-Hans"/>
        </w:rPr>
        <w:t>技术参数</w:t>
      </w:r>
    </w:p>
    <w:p w14:paraId="7DAD5504">
      <w:pPr>
        <w:pStyle w:val="7"/>
        <w:bidi w:val="0"/>
        <w:spacing w:before="0" w:after="0" w:line="240" w:lineRule="auto"/>
        <w:outlineLvl w:val="1"/>
        <w:rPr>
          <w:rFonts w:hint="eastAsia" w:ascii="宋体" w:hAnsi="宋体" w:eastAsia="宋体"/>
          <w:b/>
          <w:bCs/>
          <w:sz w:val="24"/>
          <w:szCs w:val="24"/>
        </w:rPr>
      </w:pPr>
      <w:r>
        <w:rPr>
          <w:rFonts w:hint="eastAsia" w:ascii="宋体" w:hAnsi="宋体" w:eastAsia="宋体"/>
          <w:b/>
          <w:bCs/>
          <w:sz w:val="24"/>
          <w:szCs w:val="24"/>
          <w:lang w:val="en-US" w:eastAsia="zh-CN"/>
        </w:rPr>
        <w:t>一、总体建设</w:t>
      </w:r>
      <w:r>
        <w:rPr>
          <w:rFonts w:hint="eastAsia" w:ascii="宋体" w:hAnsi="宋体" w:eastAsia="宋体"/>
          <w:b/>
          <w:bCs/>
          <w:sz w:val="24"/>
          <w:szCs w:val="24"/>
        </w:rPr>
        <w:t>目标</w:t>
      </w:r>
    </w:p>
    <w:p w14:paraId="22E667C7">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以党中央、国务院，省委省政府和市委市政府关于医疗卫生信息化、数字化改革的相关文件精神为指引，严格遵循《厦门市数字化改革行动方案（2022-2025年）》《数字厦门专项规划》等重要规划要求，紧扣医院长期发展战略与临床核心业务需求，以国家卫生健康委员会医疗信息化标准、IEEE网络通信标准及《网络安全法》《数据安全法》等法律法规为合规底线，通过采用WiFi7等先进技术，构建“安全、高效、可管、可扩”的医院信息化基础设施体系。最终实现全院无线网络全覆盖、弱电间标准化升级、网络安全防护能力强化、电子签名流程优化及PACS存储系统扩容升级，彻底解决现有网络及基础设施存在的短板问题，为远程医疗、移动医疗等智慧医疗应用提供稳定可靠的技术支撑，提升医疗服务效率与质量，保障医疗数据安全与患者隐私，助力医院数字化转型与高质量发展‌。</w:t>
      </w:r>
    </w:p>
    <w:p w14:paraId="376FCFF0">
      <w:pPr>
        <w:pStyle w:val="7"/>
        <w:bidi w:val="0"/>
        <w:spacing w:before="0" w:after="0" w:line="24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shd w:val="clear" w:color="auto" w:fill="FFFFFF"/>
          <w:lang w:val="en-US" w:eastAsia="zh-CN"/>
        </w:rPr>
        <w:t>二、</w:t>
      </w:r>
      <w:bookmarkStart w:id="8" w:name="_GoBack"/>
      <w:bookmarkEnd w:id="8"/>
      <w:r>
        <w:rPr>
          <w:rFonts w:hint="eastAsia" w:ascii="宋体" w:hAnsi="宋体" w:eastAsia="宋体" w:cs="宋体"/>
          <w:b/>
          <w:bCs/>
          <w:sz w:val="24"/>
          <w:szCs w:val="24"/>
          <w:lang w:val="en-US" w:eastAsia="zh-CN"/>
        </w:rPr>
        <w:t>建设内容</w:t>
      </w:r>
    </w:p>
    <w:tbl>
      <w:tblPr>
        <w:tblStyle w:val="9"/>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808"/>
        <w:gridCol w:w="4342"/>
        <w:gridCol w:w="795"/>
        <w:gridCol w:w="870"/>
      </w:tblGrid>
      <w:tr w14:paraId="598C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1" w:type="dxa"/>
            <w:tcBorders>
              <w:top w:val="single" w:color="auto" w:sz="4" w:space="0"/>
              <w:left w:val="single" w:color="auto" w:sz="4" w:space="0"/>
              <w:bottom w:val="single" w:color="auto" w:sz="4" w:space="0"/>
              <w:right w:val="single" w:color="auto" w:sz="4" w:space="0"/>
            </w:tcBorders>
            <w:noWrap/>
            <w:vAlign w:val="center"/>
          </w:tcPr>
          <w:p w14:paraId="08F0BD40">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default" w:ascii="宋体" w:hAnsi="宋体" w:eastAsia="宋体" w:cs="宋体"/>
                <w:b/>
                <w:bCs/>
                <w:color w:val="auto"/>
                <w:kern w:val="0"/>
                <w:sz w:val="24"/>
                <w:szCs w:val="24"/>
                <w:highlight w:val="none"/>
                <w:shd w:val="clear" w:color="auto" w:fill="auto"/>
                <w:lang w:val="en-US" w:eastAsia="zh-CN"/>
              </w:rPr>
            </w:pPr>
            <w:r>
              <w:rPr>
                <w:rFonts w:hint="eastAsia" w:ascii="宋体" w:hAnsi="宋体" w:cs="宋体"/>
                <w:b/>
                <w:bCs/>
                <w:color w:val="auto"/>
                <w:kern w:val="0"/>
                <w:sz w:val="24"/>
                <w:szCs w:val="24"/>
                <w:highlight w:val="none"/>
                <w:shd w:val="clear" w:color="auto" w:fill="auto"/>
                <w:lang w:val="en-US" w:eastAsia="zh-CN"/>
              </w:rPr>
              <w:t>项目名称</w:t>
            </w:r>
          </w:p>
        </w:tc>
        <w:tc>
          <w:tcPr>
            <w:tcW w:w="7815" w:type="dxa"/>
            <w:gridSpan w:val="4"/>
            <w:tcBorders>
              <w:top w:val="single" w:color="auto" w:sz="4" w:space="0"/>
              <w:left w:val="single" w:color="auto" w:sz="4" w:space="0"/>
              <w:bottom w:val="single" w:color="auto" w:sz="4" w:space="0"/>
              <w:right w:val="single" w:color="auto" w:sz="4" w:space="0"/>
            </w:tcBorders>
            <w:noWrap/>
            <w:vAlign w:val="center"/>
          </w:tcPr>
          <w:p w14:paraId="340F977C">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b/>
                <w:bCs/>
                <w:color w:val="auto"/>
                <w:kern w:val="0"/>
                <w:sz w:val="24"/>
                <w:szCs w:val="24"/>
                <w:highlight w:val="none"/>
                <w:shd w:val="clear" w:color="auto" w:fill="auto"/>
              </w:rPr>
            </w:pPr>
            <w:r>
              <w:rPr>
                <w:rFonts w:hint="eastAsia"/>
                <w:b/>
                <w:bCs/>
                <w:sz w:val="24"/>
                <w:szCs w:val="24"/>
                <w:lang w:val="en-US" w:eastAsia="zh-CN"/>
              </w:rPr>
              <w:t>厦门市第三医院就医环境改造项目</w:t>
            </w:r>
          </w:p>
        </w:tc>
      </w:tr>
      <w:tr w14:paraId="7099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1" w:type="dxa"/>
            <w:tcBorders>
              <w:top w:val="single" w:color="auto" w:sz="4" w:space="0"/>
              <w:left w:val="single" w:color="auto" w:sz="4" w:space="0"/>
              <w:bottom w:val="single" w:color="auto" w:sz="4" w:space="0"/>
              <w:right w:val="single" w:color="auto" w:sz="4" w:space="0"/>
            </w:tcBorders>
            <w:noWrap/>
            <w:vAlign w:val="center"/>
          </w:tcPr>
          <w:p w14:paraId="56216879">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b/>
                <w:bCs/>
                <w:color w:val="auto"/>
                <w:kern w:val="0"/>
                <w:sz w:val="24"/>
                <w:szCs w:val="24"/>
                <w:highlight w:val="none"/>
                <w:shd w:val="clear" w:color="auto" w:fill="auto"/>
                <w:lang w:eastAsia="zh-CN"/>
              </w:rPr>
            </w:pPr>
            <w:r>
              <w:rPr>
                <w:rFonts w:hint="eastAsia" w:ascii="宋体" w:hAnsi="宋体" w:eastAsia="宋体" w:cs="宋体"/>
                <w:b/>
                <w:bCs/>
                <w:color w:val="auto"/>
                <w:kern w:val="0"/>
                <w:sz w:val="24"/>
                <w:szCs w:val="24"/>
                <w:highlight w:val="none"/>
                <w:shd w:val="clear" w:color="auto" w:fill="auto"/>
                <w:lang w:val="en-US" w:eastAsia="zh-CN"/>
              </w:rPr>
              <w:t>合同包</w:t>
            </w:r>
          </w:p>
        </w:tc>
        <w:tc>
          <w:tcPr>
            <w:tcW w:w="1808" w:type="dxa"/>
            <w:tcBorders>
              <w:top w:val="single" w:color="auto" w:sz="4" w:space="0"/>
              <w:left w:val="single" w:color="auto" w:sz="4" w:space="0"/>
              <w:bottom w:val="single" w:color="auto" w:sz="4" w:space="0"/>
              <w:right w:val="single" w:color="auto" w:sz="4" w:space="0"/>
            </w:tcBorders>
            <w:noWrap/>
            <w:vAlign w:val="center"/>
          </w:tcPr>
          <w:p w14:paraId="6FCD51DF">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b/>
                <w:bCs/>
                <w:color w:val="auto"/>
                <w:kern w:val="0"/>
                <w:sz w:val="24"/>
                <w:szCs w:val="24"/>
                <w:highlight w:val="none"/>
                <w:shd w:val="clear" w:color="auto" w:fill="auto"/>
                <w:lang w:val="en-US" w:eastAsia="zh-CN"/>
              </w:rPr>
            </w:pPr>
            <w:r>
              <w:rPr>
                <w:rFonts w:hint="eastAsia" w:ascii="宋体" w:hAnsi="宋体" w:eastAsia="宋体" w:cs="宋体"/>
                <w:b/>
                <w:bCs/>
                <w:color w:val="auto"/>
                <w:kern w:val="0"/>
                <w:sz w:val="24"/>
                <w:szCs w:val="24"/>
                <w:highlight w:val="none"/>
                <w:shd w:val="clear" w:color="auto" w:fill="auto"/>
                <w:lang w:val="en-US" w:eastAsia="zh-CN"/>
              </w:rPr>
              <w:t>建设内容</w:t>
            </w:r>
          </w:p>
        </w:tc>
        <w:tc>
          <w:tcPr>
            <w:tcW w:w="4342" w:type="dxa"/>
            <w:tcBorders>
              <w:top w:val="single" w:color="auto" w:sz="4" w:space="0"/>
              <w:left w:val="single" w:color="auto" w:sz="4" w:space="0"/>
              <w:bottom w:val="single" w:color="auto" w:sz="4" w:space="0"/>
              <w:right w:val="single" w:color="auto" w:sz="4" w:space="0"/>
            </w:tcBorders>
            <w:noWrap/>
            <w:vAlign w:val="center"/>
          </w:tcPr>
          <w:p w14:paraId="0EEA8C24">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lang w:val="en-US" w:eastAsia="zh-CN"/>
              </w:rPr>
              <w:t>分项</w:t>
            </w:r>
            <w:r>
              <w:rPr>
                <w:rFonts w:hint="eastAsia" w:ascii="宋体" w:hAnsi="宋体" w:eastAsia="宋体" w:cs="宋体"/>
                <w:b/>
                <w:bCs/>
                <w:color w:val="auto"/>
                <w:kern w:val="0"/>
                <w:sz w:val="24"/>
                <w:szCs w:val="24"/>
                <w:highlight w:val="none"/>
                <w:shd w:val="clear" w:color="auto" w:fill="auto"/>
              </w:rPr>
              <w:t>名称</w:t>
            </w:r>
          </w:p>
        </w:tc>
        <w:tc>
          <w:tcPr>
            <w:tcW w:w="795" w:type="dxa"/>
            <w:tcBorders>
              <w:top w:val="single" w:color="auto" w:sz="4" w:space="0"/>
              <w:left w:val="single" w:color="auto" w:sz="4" w:space="0"/>
              <w:bottom w:val="single" w:color="auto" w:sz="4" w:space="0"/>
              <w:right w:val="single" w:color="auto" w:sz="4" w:space="0"/>
            </w:tcBorders>
            <w:noWrap/>
            <w:vAlign w:val="center"/>
          </w:tcPr>
          <w:p w14:paraId="18AA7A87">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数量</w:t>
            </w:r>
          </w:p>
        </w:tc>
        <w:tc>
          <w:tcPr>
            <w:tcW w:w="870" w:type="dxa"/>
            <w:tcBorders>
              <w:top w:val="single" w:color="auto" w:sz="4" w:space="0"/>
              <w:left w:val="single" w:color="auto" w:sz="4" w:space="0"/>
              <w:bottom w:val="single" w:color="auto" w:sz="4" w:space="0"/>
              <w:right w:val="single" w:color="auto" w:sz="4" w:space="0"/>
            </w:tcBorders>
            <w:noWrap/>
            <w:vAlign w:val="center"/>
          </w:tcPr>
          <w:p w14:paraId="0844E19A">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单位</w:t>
            </w:r>
          </w:p>
        </w:tc>
      </w:tr>
      <w:tr w14:paraId="0261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1" w:type="dxa"/>
            <w:vMerge w:val="restart"/>
            <w:tcBorders>
              <w:top w:val="single" w:color="auto" w:sz="4" w:space="0"/>
              <w:left w:val="single" w:color="auto" w:sz="4" w:space="0"/>
              <w:right w:val="single" w:color="auto" w:sz="4" w:space="0"/>
            </w:tcBorders>
            <w:noWrap/>
            <w:vAlign w:val="center"/>
          </w:tcPr>
          <w:p w14:paraId="463698E4">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合同包1</w:t>
            </w:r>
          </w:p>
        </w:tc>
        <w:tc>
          <w:tcPr>
            <w:tcW w:w="1808" w:type="dxa"/>
            <w:vMerge w:val="restart"/>
            <w:tcBorders>
              <w:top w:val="single" w:color="auto" w:sz="4" w:space="0"/>
              <w:left w:val="single" w:color="auto" w:sz="4" w:space="0"/>
              <w:right w:val="single" w:color="auto" w:sz="4" w:space="0"/>
            </w:tcBorders>
            <w:noWrap/>
            <w:vAlign w:val="center"/>
          </w:tcPr>
          <w:p w14:paraId="7F9F4331">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bookmarkStart w:id="0" w:name="OLE_LINK1"/>
            <w:r>
              <w:rPr>
                <w:rFonts w:hint="eastAsia" w:ascii="宋体" w:hAnsi="宋体" w:cs="宋体"/>
                <w:color w:val="auto"/>
                <w:kern w:val="0"/>
                <w:szCs w:val="24"/>
                <w:highlight w:val="none"/>
                <w:shd w:val="clear" w:color="auto" w:fill="auto"/>
                <w:lang w:val="en-US" w:eastAsia="zh-CN"/>
              </w:rPr>
              <w:t>无线网络及配套设施改造</w:t>
            </w:r>
          </w:p>
        </w:tc>
        <w:tc>
          <w:tcPr>
            <w:tcW w:w="4342" w:type="dxa"/>
            <w:tcBorders>
              <w:top w:val="single" w:color="auto" w:sz="4" w:space="0"/>
              <w:left w:val="single" w:color="auto" w:sz="4" w:space="0"/>
              <w:bottom w:val="single" w:color="auto" w:sz="4" w:space="0"/>
              <w:right w:val="single" w:color="auto" w:sz="4" w:space="0"/>
            </w:tcBorders>
            <w:noWrap/>
            <w:vAlign w:val="center"/>
          </w:tcPr>
          <w:p w14:paraId="0B16A7A3">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内网无线WiFi基础设施建设</w:t>
            </w:r>
            <w:bookmarkEnd w:id="0"/>
          </w:p>
        </w:tc>
        <w:tc>
          <w:tcPr>
            <w:tcW w:w="795" w:type="dxa"/>
            <w:tcBorders>
              <w:top w:val="single" w:color="auto" w:sz="4" w:space="0"/>
              <w:left w:val="single" w:color="auto" w:sz="4" w:space="0"/>
              <w:bottom w:val="single" w:color="auto" w:sz="4" w:space="0"/>
              <w:right w:val="single" w:color="auto" w:sz="4" w:space="0"/>
            </w:tcBorders>
            <w:noWrap/>
            <w:vAlign w:val="center"/>
          </w:tcPr>
          <w:p w14:paraId="5BAB4F42">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77DFE197">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w:t>
            </w:r>
          </w:p>
        </w:tc>
      </w:tr>
      <w:tr w14:paraId="23EB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ign w:val="center"/>
          </w:tcPr>
          <w:p w14:paraId="78B77B19">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1808" w:type="dxa"/>
            <w:vMerge w:val="continue"/>
            <w:tcBorders>
              <w:left w:val="single" w:color="auto" w:sz="4" w:space="0"/>
              <w:right w:val="single" w:color="auto" w:sz="4" w:space="0"/>
            </w:tcBorders>
            <w:noWrap/>
            <w:vAlign w:val="center"/>
          </w:tcPr>
          <w:p w14:paraId="7C8D4B67">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bookmarkStart w:id="1" w:name="OLE_LINK5"/>
          </w:p>
        </w:tc>
        <w:tc>
          <w:tcPr>
            <w:tcW w:w="4342" w:type="dxa"/>
            <w:tcBorders>
              <w:top w:val="single" w:color="auto" w:sz="4" w:space="0"/>
              <w:left w:val="single" w:color="auto" w:sz="4" w:space="0"/>
              <w:bottom w:val="single" w:color="auto" w:sz="4" w:space="0"/>
              <w:right w:val="single" w:color="auto" w:sz="4" w:space="0"/>
            </w:tcBorders>
            <w:noWrap/>
            <w:vAlign w:val="center"/>
          </w:tcPr>
          <w:p w14:paraId="0CCF54FA">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外网无线WiFi基础设施建设</w:t>
            </w:r>
            <w:bookmarkEnd w:id="1"/>
          </w:p>
        </w:tc>
        <w:tc>
          <w:tcPr>
            <w:tcW w:w="795" w:type="dxa"/>
            <w:tcBorders>
              <w:top w:val="single" w:color="auto" w:sz="4" w:space="0"/>
              <w:left w:val="single" w:color="auto" w:sz="4" w:space="0"/>
              <w:bottom w:val="single" w:color="auto" w:sz="4" w:space="0"/>
              <w:right w:val="single" w:color="auto" w:sz="4" w:space="0"/>
            </w:tcBorders>
            <w:noWrap/>
            <w:vAlign w:val="center"/>
          </w:tcPr>
          <w:p w14:paraId="5C89939D">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08AB4D0A">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w:t>
            </w:r>
          </w:p>
        </w:tc>
      </w:tr>
      <w:tr w14:paraId="0B35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66FA4621">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1808" w:type="dxa"/>
            <w:vMerge w:val="continue"/>
            <w:tcBorders>
              <w:left w:val="single" w:color="auto" w:sz="4" w:space="0"/>
              <w:right w:val="single" w:color="auto" w:sz="4" w:space="0"/>
            </w:tcBorders>
            <w:noWrap/>
            <w:vAlign w:val="center"/>
          </w:tcPr>
          <w:p w14:paraId="55A23E4D">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bookmarkStart w:id="2" w:name="OLE_LINK6"/>
          </w:p>
        </w:tc>
        <w:tc>
          <w:tcPr>
            <w:tcW w:w="4342" w:type="dxa"/>
            <w:tcBorders>
              <w:top w:val="single" w:color="auto" w:sz="4" w:space="0"/>
              <w:left w:val="single" w:color="auto" w:sz="4" w:space="0"/>
              <w:bottom w:val="single" w:color="auto" w:sz="4" w:space="0"/>
              <w:right w:val="single" w:color="auto" w:sz="4" w:space="0"/>
            </w:tcBorders>
            <w:noWrap/>
            <w:vAlign w:val="center"/>
          </w:tcPr>
          <w:p w14:paraId="31545CB5">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无线接入认证</w:t>
            </w:r>
            <w:r>
              <w:rPr>
                <w:rFonts w:hint="eastAsia" w:ascii="宋体" w:hAnsi="宋体" w:eastAsia="宋体" w:cs="宋体"/>
                <w:color w:val="auto"/>
                <w:kern w:val="0"/>
                <w:sz w:val="24"/>
                <w:szCs w:val="24"/>
                <w:highlight w:val="none"/>
                <w:shd w:val="clear" w:color="auto" w:fill="auto"/>
              </w:rPr>
              <w:t>基础设施建设</w:t>
            </w:r>
            <w:bookmarkEnd w:id="2"/>
          </w:p>
        </w:tc>
        <w:tc>
          <w:tcPr>
            <w:tcW w:w="795" w:type="dxa"/>
            <w:tcBorders>
              <w:top w:val="single" w:color="auto" w:sz="4" w:space="0"/>
              <w:left w:val="single" w:color="auto" w:sz="4" w:space="0"/>
              <w:bottom w:val="single" w:color="auto" w:sz="4" w:space="0"/>
              <w:right w:val="single" w:color="auto" w:sz="4" w:space="0"/>
            </w:tcBorders>
            <w:noWrap/>
            <w:vAlign w:val="center"/>
          </w:tcPr>
          <w:p w14:paraId="24222072">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469CB8E3">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w:t>
            </w:r>
          </w:p>
        </w:tc>
      </w:tr>
      <w:tr w14:paraId="5DDA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435A9D12">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5EEA6E92">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bookmarkStart w:id="3" w:name="OLE_LINK7"/>
          </w:p>
        </w:tc>
        <w:tc>
          <w:tcPr>
            <w:tcW w:w="4342" w:type="dxa"/>
            <w:tcBorders>
              <w:top w:val="single" w:color="auto" w:sz="4" w:space="0"/>
              <w:left w:val="single" w:color="auto" w:sz="4" w:space="0"/>
              <w:bottom w:val="single" w:color="auto" w:sz="4" w:space="0"/>
              <w:right w:val="single" w:color="auto" w:sz="4" w:space="0"/>
            </w:tcBorders>
            <w:noWrap/>
            <w:vAlign w:val="center"/>
          </w:tcPr>
          <w:p w14:paraId="3F97C8F9">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综合布线系统基础设施建设</w:t>
            </w:r>
            <w:bookmarkEnd w:id="3"/>
          </w:p>
        </w:tc>
        <w:tc>
          <w:tcPr>
            <w:tcW w:w="795" w:type="dxa"/>
            <w:tcBorders>
              <w:top w:val="single" w:color="auto" w:sz="4" w:space="0"/>
              <w:left w:val="single" w:color="auto" w:sz="4" w:space="0"/>
              <w:bottom w:val="single" w:color="auto" w:sz="4" w:space="0"/>
              <w:right w:val="single" w:color="auto" w:sz="4" w:space="0"/>
            </w:tcBorders>
            <w:noWrap/>
            <w:vAlign w:val="center"/>
          </w:tcPr>
          <w:p w14:paraId="727A7893">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1C5A2FEB">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rPr>
              <w:t>项</w:t>
            </w:r>
          </w:p>
        </w:tc>
      </w:tr>
      <w:tr w14:paraId="1E64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7F22A109">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1CDE0E04">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3B97ED29">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门禁系统基础设施建设</w:t>
            </w:r>
          </w:p>
        </w:tc>
        <w:tc>
          <w:tcPr>
            <w:tcW w:w="795" w:type="dxa"/>
            <w:tcBorders>
              <w:top w:val="single" w:color="auto" w:sz="4" w:space="0"/>
              <w:left w:val="single" w:color="auto" w:sz="4" w:space="0"/>
              <w:bottom w:val="single" w:color="auto" w:sz="4" w:space="0"/>
              <w:right w:val="single" w:color="auto" w:sz="4" w:space="0"/>
            </w:tcBorders>
            <w:noWrap/>
            <w:vAlign w:val="center"/>
          </w:tcPr>
          <w:p w14:paraId="08392D7D">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4A247196">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rPr>
              <w:t>项</w:t>
            </w:r>
          </w:p>
        </w:tc>
      </w:tr>
      <w:tr w14:paraId="2AFF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5D8B7EC4">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2A530F62">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bookmarkStart w:id="4" w:name="OLE_LINK8"/>
          </w:p>
          <w:bookmarkEnd w:id="4"/>
        </w:tc>
        <w:tc>
          <w:tcPr>
            <w:tcW w:w="4342" w:type="dxa"/>
            <w:tcBorders>
              <w:top w:val="single" w:color="auto" w:sz="4" w:space="0"/>
              <w:left w:val="single" w:color="auto" w:sz="4" w:space="0"/>
              <w:bottom w:val="single" w:color="auto" w:sz="4" w:space="0"/>
              <w:right w:val="single" w:color="auto" w:sz="4" w:space="0"/>
            </w:tcBorders>
            <w:noWrap/>
            <w:vAlign w:val="center"/>
          </w:tcPr>
          <w:p w14:paraId="29E2224D">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系统集成</w:t>
            </w:r>
            <w:r>
              <w:rPr>
                <w:rFonts w:hint="eastAsia" w:ascii="宋体" w:hAnsi="宋体" w:cs="宋体"/>
                <w:color w:val="auto"/>
                <w:kern w:val="0"/>
                <w:sz w:val="24"/>
                <w:szCs w:val="24"/>
                <w:highlight w:val="none"/>
                <w:shd w:val="clear" w:color="auto" w:fill="auto"/>
                <w:lang w:val="en-US" w:eastAsia="zh-CN"/>
              </w:rPr>
              <w:t>服务</w:t>
            </w:r>
          </w:p>
        </w:tc>
        <w:tc>
          <w:tcPr>
            <w:tcW w:w="795" w:type="dxa"/>
            <w:tcBorders>
              <w:top w:val="single" w:color="auto" w:sz="4" w:space="0"/>
              <w:left w:val="single" w:color="auto" w:sz="4" w:space="0"/>
              <w:bottom w:val="single" w:color="auto" w:sz="4" w:space="0"/>
              <w:right w:val="single" w:color="auto" w:sz="4" w:space="0"/>
            </w:tcBorders>
            <w:noWrap/>
            <w:vAlign w:val="center"/>
          </w:tcPr>
          <w:p w14:paraId="40FEAE19">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4FCC20C3">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rPr>
              <w:t>项</w:t>
            </w:r>
          </w:p>
        </w:tc>
      </w:tr>
      <w:tr w14:paraId="70BD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restart"/>
            <w:tcBorders>
              <w:left w:val="single" w:color="auto" w:sz="4" w:space="0"/>
              <w:right w:val="single" w:color="auto" w:sz="4" w:space="0"/>
            </w:tcBorders>
            <w:noWrap/>
            <w:vAlign w:val="center"/>
          </w:tcPr>
          <w:p w14:paraId="77929578">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合同包2</w:t>
            </w:r>
          </w:p>
        </w:tc>
        <w:tc>
          <w:tcPr>
            <w:tcW w:w="1808" w:type="dxa"/>
            <w:vMerge w:val="restart"/>
            <w:tcBorders>
              <w:left w:val="single" w:color="auto" w:sz="4" w:space="0"/>
              <w:right w:val="single" w:color="auto" w:sz="4" w:space="0"/>
            </w:tcBorders>
            <w:noWrap/>
            <w:vAlign w:val="center"/>
          </w:tcPr>
          <w:p w14:paraId="5E88DC19">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highlight w:val="none"/>
                <w:shd w:val="clear" w:color="auto" w:fill="auto"/>
              </w:rPr>
              <w:t>病区无纸化患者签名平台</w:t>
            </w:r>
          </w:p>
        </w:tc>
        <w:tc>
          <w:tcPr>
            <w:tcW w:w="4342" w:type="dxa"/>
            <w:tcBorders>
              <w:top w:val="single" w:color="auto" w:sz="4" w:space="0"/>
              <w:left w:val="single" w:color="auto" w:sz="4" w:space="0"/>
              <w:bottom w:val="single" w:color="auto" w:sz="4" w:space="0"/>
              <w:right w:val="single" w:color="auto" w:sz="4" w:space="0"/>
            </w:tcBorders>
            <w:noWrap/>
            <w:vAlign w:val="center"/>
          </w:tcPr>
          <w:p w14:paraId="26EE7924">
            <w:pPr>
              <w:widowControl/>
              <w:ind w:firstLine="0" w:firstLineChars="0"/>
              <w:jc w:val="left"/>
              <w:textAlignment w:val="center"/>
              <w:rPr>
                <w:rFonts w:hint="eastAsia" w:ascii="宋体" w:hAnsi="宋体" w:eastAsia="宋体" w:cs="宋体"/>
                <w:sz w:val="24"/>
                <w:szCs w:val="20"/>
                <w:highlight w:val="none"/>
                <w:shd w:val="clear" w:color="auto" w:fill="auto"/>
                <w:lang w:val="en-US" w:eastAsia="zh-CN"/>
              </w:rPr>
            </w:pPr>
            <w:r>
              <w:rPr>
                <w:rFonts w:hint="eastAsia" w:ascii="宋体" w:hAnsi="宋体" w:eastAsia="宋体" w:cs="宋体"/>
                <w:sz w:val="24"/>
                <w:szCs w:val="20"/>
                <w:highlight w:val="none"/>
                <w:shd w:val="clear" w:color="auto" w:fill="auto"/>
                <w:lang w:val="en-US" w:eastAsia="zh-CN"/>
              </w:rPr>
              <w:t>患者手写信息数字签名系统(含服务器)</w:t>
            </w:r>
          </w:p>
        </w:tc>
        <w:tc>
          <w:tcPr>
            <w:tcW w:w="795" w:type="dxa"/>
            <w:tcBorders>
              <w:top w:val="single" w:color="auto" w:sz="4" w:space="0"/>
              <w:left w:val="single" w:color="auto" w:sz="4" w:space="0"/>
              <w:bottom w:val="single" w:color="auto" w:sz="4" w:space="0"/>
              <w:right w:val="single" w:color="auto" w:sz="4" w:space="0"/>
            </w:tcBorders>
            <w:noWrap/>
            <w:vAlign w:val="center"/>
          </w:tcPr>
          <w:p w14:paraId="0149C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4FE2129D">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套</w:t>
            </w:r>
          </w:p>
        </w:tc>
      </w:tr>
      <w:tr w14:paraId="2925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01AB1230">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2672EE3E">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10FA8536">
            <w:pPr>
              <w:widowControl/>
              <w:ind w:firstLine="0" w:firstLineChars="0"/>
              <w:jc w:val="left"/>
              <w:textAlignment w:val="center"/>
              <w:rPr>
                <w:rFonts w:hint="eastAsia" w:ascii="宋体" w:hAnsi="宋体" w:eastAsia="宋体" w:cs="宋体"/>
                <w:sz w:val="24"/>
                <w:szCs w:val="20"/>
                <w:highlight w:val="none"/>
                <w:shd w:val="clear" w:color="auto" w:fill="auto"/>
                <w:lang w:val="en-US" w:eastAsia="zh-CN"/>
              </w:rPr>
            </w:pPr>
            <w:r>
              <w:rPr>
                <w:rFonts w:hint="eastAsia" w:ascii="宋体" w:hAnsi="宋体" w:eastAsia="宋体" w:cs="宋体"/>
                <w:sz w:val="24"/>
                <w:szCs w:val="20"/>
                <w:highlight w:val="none"/>
                <w:shd w:val="clear" w:color="auto" w:fill="auto"/>
                <w:lang w:val="en-US" w:eastAsia="zh-CN"/>
              </w:rPr>
              <w:t>有线手写签名板</w:t>
            </w:r>
          </w:p>
        </w:tc>
        <w:tc>
          <w:tcPr>
            <w:tcW w:w="795" w:type="dxa"/>
            <w:tcBorders>
              <w:top w:val="single" w:color="auto" w:sz="4" w:space="0"/>
              <w:left w:val="single" w:color="auto" w:sz="4" w:space="0"/>
              <w:bottom w:val="single" w:color="auto" w:sz="4" w:space="0"/>
              <w:right w:val="single" w:color="auto" w:sz="4" w:space="0"/>
            </w:tcBorders>
            <w:noWrap/>
            <w:vAlign w:val="center"/>
          </w:tcPr>
          <w:p w14:paraId="716039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70</w:t>
            </w:r>
          </w:p>
        </w:tc>
        <w:tc>
          <w:tcPr>
            <w:tcW w:w="870" w:type="dxa"/>
            <w:tcBorders>
              <w:top w:val="single" w:color="auto" w:sz="4" w:space="0"/>
              <w:left w:val="single" w:color="auto" w:sz="4" w:space="0"/>
              <w:bottom w:val="single" w:color="auto" w:sz="4" w:space="0"/>
              <w:right w:val="single" w:color="auto" w:sz="4" w:space="0"/>
            </w:tcBorders>
            <w:noWrap/>
            <w:vAlign w:val="center"/>
          </w:tcPr>
          <w:p w14:paraId="56C9361A">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套</w:t>
            </w:r>
          </w:p>
        </w:tc>
      </w:tr>
      <w:tr w14:paraId="77C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0FCD4CBB">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6CC739D5">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57D9EFC7">
            <w:pPr>
              <w:widowControl/>
              <w:ind w:firstLine="0" w:firstLineChars="0"/>
              <w:jc w:val="left"/>
              <w:textAlignment w:val="center"/>
              <w:rPr>
                <w:rFonts w:hint="eastAsia" w:ascii="宋体" w:hAnsi="宋体" w:eastAsia="宋体" w:cs="宋体"/>
                <w:sz w:val="24"/>
                <w:szCs w:val="20"/>
                <w:highlight w:val="none"/>
                <w:shd w:val="clear" w:color="auto" w:fill="auto"/>
                <w:lang w:val="en-US" w:eastAsia="zh-CN"/>
              </w:rPr>
            </w:pPr>
            <w:r>
              <w:rPr>
                <w:rFonts w:hint="eastAsia" w:ascii="宋体" w:hAnsi="宋体" w:eastAsia="宋体" w:cs="宋体"/>
                <w:sz w:val="24"/>
                <w:szCs w:val="20"/>
                <w:highlight w:val="none"/>
                <w:shd w:val="clear" w:color="auto" w:fill="auto"/>
                <w:lang w:val="en-US" w:eastAsia="zh-CN"/>
              </w:rPr>
              <w:t>时间戳服务器</w:t>
            </w:r>
          </w:p>
        </w:tc>
        <w:tc>
          <w:tcPr>
            <w:tcW w:w="795" w:type="dxa"/>
            <w:tcBorders>
              <w:top w:val="single" w:color="auto" w:sz="4" w:space="0"/>
              <w:left w:val="single" w:color="auto" w:sz="4" w:space="0"/>
              <w:bottom w:val="single" w:color="auto" w:sz="4" w:space="0"/>
              <w:right w:val="single" w:color="auto" w:sz="4" w:space="0"/>
            </w:tcBorders>
            <w:noWrap/>
            <w:vAlign w:val="center"/>
          </w:tcPr>
          <w:p w14:paraId="72F65D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660ECE80">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套</w:t>
            </w:r>
          </w:p>
        </w:tc>
      </w:tr>
      <w:tr w14:paraId="3041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vMerge w:val="continue"/>
            <w:tcBorders>
              <w:left w:val="single" w:color="auto" w:sz="4" w:space="0"/>
              <w:right w:val="single" w:color="auto" w:sz="4" w:space="0"/>
            </w:tcBorders>
            <w:noWrap/>
            <w:vAlign w:val="center"/>
          </w:tcPr>
          <w:p w14:paraId="0557683D">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77FBC17B">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256FBEF6">
            <w:pPr>
              <w:widowControl/>
              <w:ind w:firstLine="0" w:firstLineChars="0"/>
              <w:jc w:val="left"/>
              <w:textAlignment w:val="center"/>
              <w:rPr>
                <w:rFonts w:hint="eastAsia" w:ascii="宋体" w:hAnsi="宋体" w:eastAsia="宋体" w:cs="宋体"/>
                <w:sz w:val="24"/>
                <w:szCs w:val="20"/>
                <w:highlight w:val="none"/>
                <w:shd w:val="clear" w:color="auto" w:fill="auto"/>
                <w:lang w:val="en-US" w:eastAsia="zh-CN"/>
              </w:rPr>
            </w:pPr>
            <w:r>
              <w:rPr>
                <w:rFonts w:hint="eastAsia" w:ascii="宋体" w:hAnsi="宋体" w:eastAsia="宋体" w:cs="宋体"/>
                <w:sz w:val="24"/>
                <w:szCs w:val="20"/>
                <w:highlight w:val="none"/>
                <w:shd w:val="clear" w:color="auto" w:fill="auto"/>
                <w:lang w:val="en-US" w:eastAsia="zh-CN"/>
              </w:rPr>
              <w:t>数字证书</w:t>
            </w:r>
          </w:p>
        </w:tc>
        <w:tc>
          <w:tcPr>
            <w:tcW w:w="795" w:type="dxa"/>
            <w:tcBorders>
              <w:top w:val="single" w:color="auto" w:sz="4" w:space="0"/>
              <w:left w:val="single" w:color="auto" w:sz="4" w:space="0"/>
              <w:bottom w:val="single" w:color="auto" w:sz="4" w:space="0"/>
              <w:right w:val="single" w:color="auto" w:sz="4" w:space="0"/>
            </w:tcBorders>
            <w:noWrap/>
            <w:vAlign w:val="center"/>
          </w:tcPr>
          <w:p w14:paraId="3AE21C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55601701">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套</w:t>
            </w:r>
          </w:p>
        </w:tc>
      </w:tr>
      <w:tr w14:paraId="221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restart"/>
            <w:tcBorders>
              <w:left w:val="single" w:color="auto" w:sz="4" w:space="0"/>
              <w:right w:val="single" w:color="auto" w:sz="4" w:space="0"/>
            </w:tcBorders>
            <w:noWrap/>
            <w:vAlign w:val="center"/>
          </w:tcPr>
          <w:p w14:paraId="47E4341B">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bookmarkStart w:id="5" w:name="OLE_LINK4" w:colFirst="2" w:colLast="2"/>
            <w:r>
              <w:rPr>
                <w:rFonts w:hint="eastAsia" w:ascii="宋体" w:hAnsi="宋体" w:eastAsia="宋体" w:cs="宋体"/>
                <w:color w:val="auto"/>
                <w:kern w:val="0"/>
                <w:sz w:val="24"/>
                <w:szCs w:val="24"/>
                <w:highlight w:val="none"/>
                <w:shd w:val="clear" w:color="auto" w:fill="auto"/>
                <w:lang w:val="en-US" w:eastAsia="zh-CN"/>
              </w:rPr>
              <w:t>合同包3</w:t>
            </w:r>
          </w:p>
        </w:tc>
        <w:tc>
          <w:tcPr>
            <w:tcW w:w="1808" w:type="dxa"/>
            <w:vMerge w:val="restart"/>
            <w:tcBorders>
              <w:left w:val="single" w:color="auto" w:sz="4" w:space="0"/>
              <w:right w:val="single" w:color="auto" w:sz="4" w:space="0"/>
            </w:tcBorders>
            <w:noWrap/>
            <w:vAlign w:val="center"/>
          </w:tcPr>
          <w:p w14:paraId="6133B42A">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Cs w:val="24"/>
                <w:highlight w:val="none"/>
                <w:shd w:val="clear" w:color="auto" w:fill="auto"/>
              </w:rPr>
              <w:t>信息安全设备</w:t>
            </w:r>
          </w:p>
        </w:tc>
        <w:tc>
          <w:tcPr>
            <w:tcW w:w="4342" w:type="dxa"/>
            <w:tcBorders>
              <w:top w:val="single" w:color="auto" w:sz="4" w:space="0"/>
              <w:left w:val="single" w:color="auto" w:sz="4" w:space="0"/>
              <w:bottom w:val="single" w:color="auto" w:sz="4" w:space="0"/>
              <w:right w:val="single" w:color="auto" w:sz="4" w:space="0"/>
            </w:tcBorders>
            <w:noWrap/>
            <w:vAlign w:val="center"/>
          </w:tcPr>
          <w:p w14:paraId="2DB00653">
            <w:pPr>
              <w:widowControl/>
              <w:ind w:firstLine="0" w:firstLineChars="0"/>
              <w:jc w:val="left"/>
              <w:textAlignment w:val="center"/>
              <w:rPr>
                <w:rFonts w:hint="eastAsia" w:ascii="宋体" w:hAnsi="宋体" w:eastAsia="宋体" w:cs="宋体"/>
                <w:sz w:val="24"/>
                <w:szCs w:val="20"/>
                <w:highlight w:val="none"/>
                <w:shd w:val="clear" w:color="auto" w:fill="auto"/>
                <w:lang w:val="en-US" w:eastAsia="zh-CN"/>
              </w:rPr>
            </w:pPr>
            <w:r>
              <w:rPr>
                <w:rFonts w:hint="eastAsia" w:ascii="宋体" w:hAnsi="宋体" w:eastAsia="宋体" w:cs="宋体"/>
                <w:sz w:val="24"/>
                <w:szCs w:val="20"/>
                <w:highlight w:val="none"/>
                <w:shd w:val="clear" w:color="auto" w:fill="auto"/>
                <w:lang w:val="en-US" w:eastAsia="zh-CN"/>
              </w:rPr>
              <w:t>内网边界下一代防火墙</w:t>
            </w:r>
          </w:p>
        </w:tc>
        <w:tc>
          <w:tcPr>
            <w:tcW w:w="795" w:type="dxa"/>
            <w:tcBorders>
              <w:top w:val="single" w:color="auto" w:sz="4" w:space="0"/>
              <w:left w:val="single" w:color="auto" w:sz="4" w:space="0"/>
              <w:bottom w:val="single" w:color="auto" w:sz="4" w:space="0"/>
              <w:right w:val="single" w:color="auto" w:sz="4" w:space="0"/>
            </w:tcBorders>
            <w:noWrap/>
            <w:vAlign w:val="center"/>
          </w:tcPr>
          <w:p w14:paraId="64DAE190">
            <w:pPr>
              <w:widowControl/>
              <w:ind w:firstLine="0" w:firstLineChars="0"/>
              <w:jc w:val="center"/>
              <w:textAlignment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sz w:val="24"/>
                <w:szCs w:val="20"/>
                <w:highlight w:val="none"/>
                <w:shd w:val="clear" w:color="auto" w:fill="auto"/>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3FD40093">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台</w:t>
            </w:r>
          </w:p>
        </w:tc>
      </w:tr>
      <w:tr w14:paraId="0A0C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22472F58">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6A0D9FFA">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006EED05">
            <w:pPr>
              <w:widowControl/>
              <w:ind w:firstLine="0" w:firstLineChars="0"/>
              <w:jc w:val="left"/>
              <w:textAlignment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sz w:val="24"/>
                <w:szCs w:val="20"/>
                <w:highlight w:val="none"/>
                <w:shd w:val="clear" w:color="auto" w:fill="auto"/>
                <w:lang w:val="en-US" w:eastAsia="zh-CN"/>
              </w:rPr>
              <w:t>web应用防火墙</w:t>
            </w:r>
          </w:p>
        </w:tc>
        <w:tc>
          <w:tcPr>
            <w:tcW w:w="795" w:type="dxa"/>
            <w:tcBorders>
              <w:top w:val="single" w:color="auto" w:sz="4" w:space="0"/>
              <w:left w:val="single" w:color="auto" w:sz="4" w:space="0"/>
              <w:bottom w:val="single" w:color="auto" w:sz="4" w:space="0"/>
              <w:right w:val="single" w:color="auto" w:sz="4" w:space="0"/>
            </w:tcBorders>
            <w:noWrap/>
            <w:vAlign w:val="center"/>
          </w:tcPr>
          <w:p w14:paraId="4FFF53CD">
            <w:pPr>
              <w:widowControl/>
              <w:ind w:firstLine="0" w:firstLineChars="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sz w:val="24"/>
                <w:szCs w:val="20"/>
                <w:highlight w:val="none"/>
                <w:shd w:val="clear" w:color="auto" w:fill="auto"/>
                <w:lang w:val="en-US" w:eastAsia="zh-CN"/>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778B6516">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台</w:t>
            </w:r>
          </w:p>
        </w:tc>
      </w:tr>
      <w:bookmarkEnd w:id="5"/>
      <w:tr w14:paraId="7FA2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restart"/>
            <w:tcBorders>
              <w:left w:val="single" w:color="auto" w:sz="4" w:space="0"/>
              <w:right w:val="single" w:color="auto" w:sz="4" w:space="0"/>
            </w:tcBorders>
            <w:noWrap/>
            <w:vAlign w:val="center"/>
          </w:tcPr>
          <w:p w14:paraId="40070E65">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合同包4</w:t>
            </w:r>
          </w:p>
        </w:tc>
        <w:tc>
          <w:tcPr>
            <w:tcW w:w="1808" w:type="dxa"/>
            <w:vMerge w:val="restart"/>
            <w:tcBorders>
              <w:left w:val="single" w:color="auto" w:sz="4" w:space="0"/>
              <w:right w:val="single" w:color="auto" w:sz="4" w:space="0"/>
            </w:tcBorders>
            <w:noWrap/>
            <w:vAlign w:val="center"/>
          </w:tcPr>
          <w:p w14:paraId="1385F56E">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PACS存储扩容</w:t>
            </w:r>
          </w:p>
        </w:tc>
        <w:tc>
          <w:tcPr>
            <w:tcW w:w="4342" w:type="dxa"/>
            <w:tcBorders>
              <w:top w:val="single" w:color="auto" w:sz="4" w:space="0"/>
              <w:left w:val="single" w:color="auto" w:sz="4" w:space="0"/>
              <w:bottom w:val="single" w:color="auto" w:sz="4" w:space="0"/>
              <w:right w:val="single" w:color="auto" w:sz="4" w:space="0"/>
            </w:tcBorders>
            <w:noWrap/>
            <w:vAlign w:val="center"/>
          </w:tcPr>
          <w:p w14:paraId="23447115">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NAS主机</w:t>
            </w:r>
          </w:p>
        </w:tc>
        <w:tc>
          <w:tcPr>
            <w:tcW w:w="795" w:type="dxa"/>
            <w:tcBorders>
              <w:top w:val="single" w:color="auto" w:sz="4" w:space="0"/>
              <w:left w:val="single" w:color="auto" w:sz="4" w:space="0"/>
              <w:bottom w:val="single" w:color="auto" w:sz="4" w:space="0"/>
              <w:right w:val="single" w:color="auto" w:sz="4" w:space="0"/>
            </w:tcBorders>
            <w:noWrap/>
            <w:vAlign w:val="center"/>
          </w:tcPr>
          <w:p w14:paraId="499D65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4F40978F">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套</w:t>
            </w:r>
          </w:p>
        </w:tc>
      </w:tr>
      <w:tr w14:paraId="6B70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6ED503EC">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45C62720">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2B0BFAFC">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sz w:val="24"/>
                <w:szCs w:val="24"/>
                <w:lang w:val="en-US" w:eastAsia="zh-CN"/>
              </w:rPr>
              <w:t>对象存储扩展柜1台含容量</w:t>
            </w:r>
          </w:p>
        </w:tc>
        <w:tc>
          <w:tcPr>
            <w:tcW w:w="795" w:type="dxa"/>
            <w:tcBorders>
              <w:top w:val="single" w:color="auto" w:sz="4" w:space="0"/>
              <w:left w:val="single" w:color="auto" w:sz="4" w:space="0"/>
              <w:bottom w:val="single" w:color="auto" w:sz="4" w:space="0"/>
              <w:right w:val="single" w:color="auto" w:sz="4" w:space="0"/>
            </w:tcBorders>
            <w:noWrap/>
            <w:vAlign w:val="center"/>
          </w:tcPr>
          <w:p w14:paraId="5D3359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361F8766">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套</w:t>
            </w:r>
          </w:p>
        </w:tc>
      </w:tr>
      <w:tr w14:paraId="6284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41" w:type="dxa"/>
            <w:vMerge w:val="continue"/>
            <w:tcBorders>
              <w:left w:val="single" w:color="auto" w:sz="4" w:space="0"/>
              <w:right w:val="single" w:color="auto" w:sz="4" w:space="0"/>
            </w:tcBorders>
            <w:noWrap/>
            <w:vAlign w:val="center"/>
          </w:tcPr>
          <w:p w14:paraId="51645B20">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3A50653B">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0E9B21EC">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sz w:val="24"/>
                <w:szCs w:val="24"/>
                <w:lang w:val="en-US" w:eastAsia="zh-CN"/>
              </w:rPr>
              <w:t>PACS存储复制软件</w:t>
            </w:r>
          </w:p>
        </w:tc>
        <w:tc>
          <w:tcPr>
            <w:tcW w:w="795" w:type="dxa"/>
            <w:tcBorders>
              <w:top w:val="single" w:color="auto" w:sz="4" w:space="0"/>
              <w:left w:val="single" w:color="auto" w:sz="4" w:space="0"/>
              <w:bottom w:val="single" w:color="auto" w:sz="4" w:space="0"/>
              <w:right w:val="single" w:color="auto" w:sz="4" w:space="0"/>
            </w:tcBorders>
            <w:noWrap/>
            <w:vAlign w:val="center"/>
          </w:tcPr>
          <w:p w14:paraId="25C7C1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2B06C8DB">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套</w:t>
            </w:r>
          </w:p>
        </w:tc>
      </w:tr>
      <w:tr w14:paraId="72CA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41" w:type="dxa"/>
            <w:vMerge w:val="continue"/>
            <w:tcBorders>
              <w:left w:val="single" w:color="auto" w:sz="4" w:space="0"/>
              <w:right w:val="single" w:color="auto" w:sz="4" w:space="0"/>
            </w:tcBorders>
            <w:noWrap/>
            <w:vAlign w:val="center"/>
          </w:tcPr>
          <w:p w14:paraId="7ECC45DF">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5307DDFD">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2B2AB663">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rPr>
              <w:t>PACS存储扩容</w:t>
            </w:r>
            <w:r>
              <w:rPr>
                <w:rFonts w:hint="eastAsia" w:ascii="宋体" w:hAnsi="宋体" w:cs="宋体"/>
                <w:color w:val="auto"/>
                <w:kern w:val="0"/>
                <w:sz w:val="24"/>
                <w:szCs w:val="24"/>
                <w:highlight w:val="none"/>
                <w:shd w:val="clear" w:color="auto" w:fill="auto"/>
                <w:lang w:val="en-US" w:eastAsia="zh-CN"/>
              </w:rPr>
              <w:t>系统集成</w:t>
            </w:r>
            <w:r>
              <w:rPr>
                <w:rFonts w:hint="eastAsia" w:ascii="宋体" w:hAnsi="宋体" w:eastAsia="宋体" w:cs="宋体"/>
                <w:color w:val="auto"/>
                <w:kern w:val="0"/>
                <w:sz w:val="24"/>
                <w:szCs w:val="24"/>
                <w:highlight w:val="none"/>
                <w:shd w:val="clear" w:color="auto" w:fill="auto"/>
                <w:lang w:val="en-US" w:eastAsia="zh-CN"/>
              </w:rPr>
              <w:t>服务</w:t>
            </w:r>
          </w:p>
        </w:tc>
        <w:tc>
          <w:tcPr>
            <w:tcW w:w="795" w:type="dxa"/>
            <w:tcBorders>
              <w:top w:val="single" w:color="auto" w:sz="4" w:space="0"/>
              <w:left w:val="single" w:color="auto" w:sz="4" w:space="0"/>
              <w:bottom w:val="single" w:color="auto" w:sz="4" w:space="0"/>
              <w:right w:val="single" w:color="auto" w:sz="4" w:space="0"/>
            </w:tcBorders>
            <w:noWrap/>
            <w:vAlign w:val="center"/>
          </w:tcPr>
          <w:p w14:paraId="67377F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3F0AD0F5">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rPr>
              <w:t>项</w:t>
            </w:r>
          </w:p>
        </w:tc>
      </w:tr>
      <w:tr w14:paraId="0C1D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vMerge w:val="continue"/>
            <w:tcBorders>
              <w:left w:val="single" w:color="auto" w:sz="4" w:space="0"/>
              <w:right w:val="single" w:color="auto" w:sz="4" w:space="0"/>
            </w:tcBorders>
            <w:noWrap/>
            <w:vAlign w:val="center"/>
          </w:tcPr>
          <w:p w14:paraId="7CE7746A">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lang w:val="en-US" w:eastAsia="zh-CN"/>
              </w:rPr>
            </w:pPr>
          </w:p>
        </w:tc>
        <w:tc>
          <w:tcPr>
            <w:tcW w:w="1808" w:type="dxa"/>
            <w:vMerge w:val="continue"/>
            <w:tcBorders>
              <w:left w:val="single" w:color="auto" w:sz="4" w:space="0"/>
              <w:right w:val="single" w:color="auto" w:sz="4" w:space="0"/>
            </w:tcBorders>
            <w:noWrap/>
            <w:vAlign w:val="center"/>
          </w:tcPr>
          <w:p w14:paraId="1E1D156A">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center"/>
              <w:rPr>
                <w:rFonts w:hint="eastAsia" w:ascii="宋体" w:hAnsi="宋体" w:eastAsia="宋体" w:cs="宋体"/>
                <w:color w:val="auto"/>
                <w:kern w:val="0"/>
                <w:sz w:val="24"/>
                <w:szCs w:val="24"/>
                <w:highlight w:val="none"/>
                <w:shd w:val="clear" w:color="auto" w:fill="auto"/>
              </w:rPr>
            </w:pPr>
          </w:p>
        </w:tc>
        <w:tc>
          <w:tcPr>
            <w:tcW w:w="4342" w:type="dxa"/>
            <w:tcBorders>
              <w:top w:val="single" w:color="auto" w:sz="4" w:space="0"/>
              <w:left w:val="single" w:color="auto" w:sz="4" w:space="0"/>
              <w:bottom w:val="single" w:color="auto" w:sz="4" w:space="0"/>
              <w:right w:val="single" w:color="auto" w:sz="4" w:space="0"/>
            </w:tcBorders>
            <w:noWrap/>
            <w:vAlign w:val="center"/>
          </w:tcPr>
          <w:p w14:paraId="7917E5F7">
            <w:pPr>
              <w:keepNext w:val="0"/>
              <w:keepLines w:val="0"/>
              <w:pageBreakBefore w:val="0"/>
              <w:widowControl/>
              <w:suppressLineNumbers w:val="0"/>
              <w:kinsoku/>
              <w:wordWrap/>
              <w:overflowPunct/>
              <w:topLinePunct w:val="0"/>
              <w:bidi w:val="0"/>
              <w:spacing w:beforeAutospacing="0" w:afterAutospacing="0" w:line="360" w:lineRule="auto"/>
              <w:ind w:left="0" w:right="0" w:firstLine="0" w:firstLineChars="0"/>
              <w:jc w:val="left"/>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rPr>
              <w:t>PACS存储扩容</w:t>
            </w:r>
            <w:r>
              <w:rPr>
                <w:rFonts w:hint="eastAsia" w:ascii="宋体" w:hAnsi="宋体" w:cs="宋体"/>
                <w:color w:val="auto"/>
                <w:kern w:val="0"/>
                <w:sz w:val="24"/>
                <w:szCs w:val="24"/>
                <w:highlight w:val="none"/>
                <w:shd w:val="clear" w:color="auto" w:fill="auto"/>
                <w:lang w:val="en-US" w:eastAsia="zh-CN"/>
              </w:rPr>
              <w:t>系统迁移服务</w:t>
            </w:r>
          </w:p>
        </w:tc>
        <w:tc>
          <w:tcPr>
            <w:tcW w:w="795" w:type="dxa"/>
            <w:tcBorders>
              <w:top w:val="single" w:color="auto" w:sz="4" w:space="0"/>
              <w:left w:val="single" w:color="auto" w:sz="4" w:space="0"/>
              <w:bottom w:val="single" w:color="auto" w:sz="4" w:space="0"/>
              <w:right w:val="single" w:color="auto" w:sz="4" w:space="0"/>
            </w:tcBorders>
            <w:noWrap/>
            <w:vAlign w:val="center"/>
          </w:tcPr>
          <w:p w14:paraId="5326C2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50EFCD87">
            <w:pPr>
              <w:keepNext w:val="0"/>
              <w:keepLines w:val="0"/>
              <w:pageBreakBefore w:val="0"/>
              <w:widowControl/>
              <w:suppressLineNumbers w:val="0"/>
              <w:kinsoku/>
              <w:wordWrap/>
              <w:overflowPunct/>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项</w:t>
            </w:r>
          </w:p>
        </w:tc>
      </w:tr>
    </w:tbl>
    <w:p w14:paraId="354725A0">
      <w:pPr>
        <w:pStyle w:val="2"/>
        <w:spacing w:line="240" w:lineRule="auto"/>
        <w:outlineLvl w:val="1"/>
        <w:rPr>
          <w:rFonts w:hint="eastAsia" w:ascii="宋体" w:hAnsi="宋体" w:eastAsia="宋体" w:cs="宋体"/>
          <w:b w:val="0"/>
          <w:sz w:val="24"/>
          <w:szCs w:val="24"/>
          <w:shd w:val="clear" w:color="auto" w:fill="FFFFFF"/>
          <w:lang w:val="en-US" w:eastAsia="zh-Hans"/>
        </w:rPr>
      </w:pPr>
      <w:r>
        <w:rPr>
          <w:rFonts w:hint="eastAsia" w:ascii="宋体" w:hAnsi="宋体" w:eastAsia="宋体" w:cs="宋体"/>
          <w:b/>
          <w:bCs/>
          <w:sz w:val="24"/>
          <w:szCs w:val="24"/>
          <w:shd w:val="clear" w:color="auto" w:fill="FFFFFF"/>
          <w:lang w:val="en-US" w:eastAsia="zh-CN"/>
        </w:rPr>
        <w:t>2.1合同包1：</w:t>
      </w:r>
      <w:r>
        <w:rPr>
          <w:rFonts w:hint="eastAsia" w:ascii="宋体" w:hAnsi="宋体" w:eastAsia="宋体" w:cs="宋体"/>
          <w:b/>
          <w:bCs/>
          <w:sz w:val="24"/>
          <w:szCs w:val="24"/>
          <w:shd w:val="clear" w:color="auto" w:fill="FFFFFF"/>
          <w:lang w:val="en-US" w:eastAsia="zh-Hans"/>
        </w:rPr>
        <w:t>无线网络及配套设施改造</w:t>
      </w:r>
    </w:p>
    <w:p w14:paraId="1D8A49CC">
      <w:pPr>
        <w:pStyle w:val="2"/>
        <w:spacing w:line="240" w:lineRule="auto"/>
        <w:outlineLvl w:val="2"/>
        <w:rPr>
          <w:rFonts w:hint="eastAsia" w:ascii="宋体" w:hAnsi="宋体" w:eastAsia="宋体" w:cs="宋体"/>
          <w:b w:val="0"/>
          <w:sz w:val="24"/>
          <w:szCs w:val="24"/>
          <w:shd w:val="clear" w:color="auto" w:fill="FFFFFF"/>
          <w:lang w:val="en-US" w:eastAsia="zh-CN"/>
        </w:rPr>
      </w:pPr>
      <w:r>
        <w:rPr>
          <w:rFonts w:hint="eastAsia" w:ascii="宋体" w:hAnsi="宋体" w:eastAsia="宋体" w:cs="宋体"/>
          <w:b w:val="0"/>
          <w:sz w:val="24"/>
          <w:szCs w:val="24"/>
          <w:shd w:val="clear" w:color="auto" w:fill="FFFFFF"/>
          <w:lang w:val="en-US" w:eastAsia="zh-CN"/>
        </w:rPr>
        <w:t>2.1.1</w:t>
      </w:r>
      <w:r>
        <w:rPr>
          <w:rFonts w:hint="eastAsia" w:ascii="宋体" w:hAnsi="宋体" w:eastAsia="宋体" w:cs="宋体"/>
          <w:b w:val="0"/>
          <w:sz w:val="24"/>
          <w:szCs w:val="24"/>
          <w:shd w:val="clear" w:color="auto" w:fill="FFFFFF"/>
          <w:lang w:val="en-US" w:eastAsia="zh-Hans"/>
        </w:rPr>
        <w:t>无线网络及配套设施改造</w:t>
      </w:r>
      <w:r>
        <w:rPr>
          <w:rFonts w:hint="eastAsia" w:ascii="宋体" w:hAnsi="宋体" w:eastAsia="宋体" w:cs="宋体"/>
          <w:b w:val="0"/>
          <w:sz w:val="24"/>
          <w:szCs w:val="24"/>
          <w:shd w:val="clear" w:color="auto" w:fill="FFFFFF"/>
          <w:lang w:val="en-US" w:eastAsia="zh-CN"/>
        </w:rPr>
        <w:t>建设目标</w:t>
      </w:r>
    </w:p>
    <w:p w14:paraId="534F65A0">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Hans"/>
        </w:rPr>
        <w:t>无线网络覆盖与管控：完成全院门诊楼、住院A/B/C/D区、</w:t>
      </w:r>
      <w:r>
        <w:rPr>
          <w:rFonts w:hint="eastAsia" w:ascii="宋体" w:hAnsi="宋体" w:eastAsia="宋体" w:cs="宋体"/>
          <w:sz w:val="24"/>
          <w:szCs w:val="24"/>
          <w:highlight w:val="none"/>
          <w:lang w:eastAsia="zh-CN"/>
        </w:rPr>
        <w:t>综合楼</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eastAsia="zh-CN"/>
        </w:rPr>
        <w:t>病案室</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eastAsia="zh-CN"/>
        </w:rPr>
        <w:t>高压氧治疗室</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eastAsia="zh-CN"/>
        </w:rPr>
        <w:t>放射治疗室</w:t>
      </w:r>
      <w:r>
        <w:rPr>
          <w:rFonts w:hint="eastAsia" w:ascii="宋体" w:hAnsi="宋体" w:eastAsia="宋体" w:cs="宋体"/>
          <w:sz w:val="24"/>
          <w:szCs w:val="24"/>
          <w:highlight w:val="none"/>
          <w:lang w:eastAsia="zh-Hans"/>
        </w:rPr>
        <w:t>、发热门诊及楼宇之间的内网与外网无线覆盖，实现全院AP的统一管理及状态可视化呈现。</w:t>
      </w:r>
    </w:p>
    <w:p w14:paraId="583C682C">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Hans"/>
        </w:rPr>
        <w:t>弱电间一体化改造：以“安全、整洁、可管、可扩”为原则，对全院89间弱电间进行空间优化、线路梳理、环境提升一体化改造，解决“线路乱、标识无、设备旧、进出杂”四大痛点，为无线网络及后续智慧医疗系统提供高可靠物理承载环境。</w:t>
      </w:r>
    </w:p>
    <w:p w14:paraId="02BF2528">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宋体" w:hAnsi="宋体" w:eastAsia="宋体" w:cs="宋体"/>
          <w:b w:val="0"/>
          <w:sz w:val="24"/>
          <w:szCs w:val="24"/>
          <w:shd w:val="clear" w:color="auto" w:fill="FFFFFF"/>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Hans"/>
        </w:rPr>
        <w:t>弱电间门禁管控：对56间具备独立空间的弱电间（占总数63%）安装</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lang w:eastAsia="zh-CN"/>
        </w:rPr>
        <w:t>指纹</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IC卡双因子认证</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lang w:eastAsia="zh-CN"/>
        </w:rPr>
        <w:t>门禁</w:t>
      </w:r>
      <w:r>
        <w:rPr>
          <w:rFonts w:hint="eastAsia" w:ascii="宋体" w:hAnsi="宋体" w:eastAsia="宋体" w:cs="宋体"/>
          <w:sz w:val="24"/>
          <w:szCs w:val="24"/>
          <w:highlight w:val="none"/>
          <w:lang w:val="en-US" w:eastAsia="zh-CN"/>
        </w:rPr>
        <w:t>系统</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eastAsia="zh-CN"/>
        </w:rPr>
        <w:t>其余</w:t>
      </w:r>
      <w:r>
        <w:rPr>
          <w:rFonts w:hint="eastAsia" w:ascii="宋体" w:hAnsi="宋体" w:eastAsia="宋体" w:cs="宋体"/>
          <w:sz w:val="24"/>
          <w:szCs w:val="24"/>
          <w:highlight w:val="none"/>
          <w:lang w:val="en-US" w:eastAsia="zh-CN"/>
        </w:rPr>
        <w:t>开放空间的机柜</w:t>
      </w:r>
      <w:r>
        <w:rPr>
          <w:rFonts w:hint="eastAsia" w:ascii="宋体" w:hAnsi="宋体" w:eastAsia="宋体" w:cs="宋体"/>
          <w:sz w:val="24"/>
          <w:szCs w:val="24"/>
          <w:highlight w:val="none"/>
          <w:lang w:eastAsia="zh-CN"/>
        </w:rPr>
        <w:t>采用机械锁</w:t>
      </w:r>
      <w:r>
        <w:rPr>
          <w:rFonts w:hint="eastAsia" w:ascii="宋体" w:hAnsi="宋体" w:eastAsia="宋体" w:cs="宋体"/>
          <w:sz w:val="24"/>
          <w:szCs w:val="24"/>
          <w:highlight w:val="none"/>
          <w:lang w:val="en-US" w:eastAsia="zh-CN"/>
        </w:rPr>
        <w:t>进行管理，提升</w:t>
      </w:r>
      <w:r>
        <w:rPr>
          <w:rFonts w:hint="eastAsia" w:ascii="宋体" w:hAnsi="宋体" w:eastAsia="宋体" w:cs="宋体"/>
          <w:sz w:val="24"/>
          <w:szCs w:val="24"/>
          <w:highlight w:val="none"/>
          <w:lang w:eastAsia="zh-Hans"/>
        </w:rPr>
        <w:t>。</w:t>
      </w:r>
    </w:p>
    <w:p w14:paraId="6077F634">
      <w:pPr>
        <w:pStyle w:val="2"/>
        <w:spacing w:line="240" w:lineRule="auto"/>
        <w:outlineLvl w:val="2"/>
        <w:rPr>
          <w:rFonts w:hint="eastAsia" w:ascii="宋体" w:hAnsi="宋体" w:eastAsia="宋体" w:cs="宋体"/>
          <w:b w:val="0"/>
          <w:sz w:val="24"/>
          <w:szCs w:val="24"/>
          <w:shd w:val="clear" w:color="auto" w:fill="FFFFFF"/>
          <w:lang w:val="en-US" w:eastAsia="zh-CN"/>
        </w:rPr>
      </w:pPr>
      <w:r>
        <w:rPr>
          <w:rFonts w:hint="eastAsia" w:ascii="宋体" w:hAnsi="宋体" w:eastAsia="宋体" w:cs="宋体"/>
          <w:b w:val="0"/>
          <w:sz w:val="24"/>
          <w:szCs w:val="24"/>
          <w:shd w:val="clear" w:color="auto" w:fill="FFFFFF"/>
          <w:lang w:val="en-US" w:eastAsia="zh-CN"/>
        </w:rPr>
        <w:t>2.1.2</w:t>
      </w:r>
      <w:r>
        <w:rPr>
          <w:rFonts w:hint="eastAsia" w:ascii="宋体" w:hAnsi="宋体" w:eastAsia="宋体" w:cs="宋体"/>
          <w:b w:val="0"/>
          <w:sz w:val="24"/>
          <w:szCs w:val="24"/>
          <w:shd w:val="clear" w:color="auto" w:fill="FFFFFF"/>
          <w:lang w:val="en-US" w:eastAsia="zh-Hans"/>
        </w:rPr>
        <w:t>无线网络及配套设施改造</w:t>
      </w:r>
      <w:r>
        <w:rPr>
          <w:rFonts w:hint="eastAsia" w:ascii="宋体" w:hAnsi="宋体" w:eastAsia="宋体" w:cs="宋体"/>
          <w:b w:val="0"/>
          <w:sz w:val="24"/>
          <w:szCs w:val="24"/>
          <w:shd w:val="clear" w:color="auto" w:fill="FFFFFF"/>
          <w:lang w:val="en-US" w:eastAsia="zh-CN"/>
        </w:rPr>
        <w:t>项目参数</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1266"/>
        <w:gridCol w:w="5598"/>
        <w:gridCol w:w="339"/>
        <w:gridCol w:w="786"/>
      </w:tblGrid>
      <w:tr w14:paraId="6656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973A2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43" w:type="pct"/>
            <w:tcBorders>
              <w:top w:val="single" w:color="000000" w:sz="4" w:space="0"/>
              <w:left w:val="single" w:color="000000" w:sz="4" w:space="0"/>
              <w:bottom w:val="nil"/>
              <w:right w:val="single" w:color="000000" w:sz="4" w:space="0"/>
            </w:tcBorders>
            <w:noWrap w:val="0"/>
            <w:vAlign w:val="center"/>
          </w:tcPr>
          <w:p w14:paraId="3C6DF6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284" w:type="pct"/>
            <w:tcBorders>
              <w:top w:val="single" w:color="000000" w:sz="4" w:space="0"/>
              <w:left w:val="single" w:color="000000" w:sz="4" w:space="0"/>
              <w:bottom w:val="nil"/>
              <w:right w:val="single" w:color="000000" w:sz="4" w:space="0"/>
            </w:tcBorders>
            <w:noWrap w:val="0"/>
            <w:vAlign w:val="center"/>
          </w:tcPr>
          <w:p w14:paraId="2A4277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设备参数</w:t>
            </w:r>
          </w:p>
        </w:tc>
        <w:tc>
          <w:tcPr>
            <w:tcW w:w="198" w:type="pct"/>
            <w:tcBorders>
              <w:top w:val="single" w:color="000000" w:sz="4" w:space="0"/>
              <w:left w:val="single" w:color="000000" w:sz="4" w:space="0"/>
              <w:bottom w:val="nil"/>
              <w:right w:val="single" w:color="000000" w:sz="4" w:space="0"/>
            </w:tcBorders>
            <w:noWrap w:val="0"/>
            <w:vAlign w:val="center"/>
          </w:tcPr>
          <w:p w14:paraId="7E22E0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61" w:type="pct"/>
            <w:tcBorders>
              <w:top w:val="single" w:color="000000" w:sz="4" w:space="0"/>
              <w:left w:val="single" w:color="000000" w:sz="4" w:space="0"/>
              <w:bottom w:val="nil"/>
              <w:right w:val="single" w:color="000000" w:sz="4" w:space="0"/>
            </w:tcBorders>
            <w:noWrap/>
            <w:vAlign w:val="center"/>
          </w:tcPr>
          <w:p w14:paraId="6AE4E5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7848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81DBE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4687" w:type="pct"/>
            <w:gridSpan w:val="4"/>
            <w:tcBorders>
              <w:top w:val="single" w:color="000000" w:sz="4" w:space="0"/>
              <w:left w:val="single" w:color="000000" w:sz="4" w:space="0"/>
              <w:bottom w:val="single" w:color="000000" w:sz="4" w:space="0"/>
              <w:right w:val="single" w:color="000000" w:sz="4" w:space="0"/>
            </w:tcBorders>
            <w:noWrap w:val="0"/>
            <w:vAlign w:val="center"/>
          </w:tcPr>
          <w:p w14:paraId="0F7C940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内网无线WiFi基础设施建设</w:t>
            </w:r>
          </w:p>
        </w:tc>
      </w:tr>
      <w:tr w14:paraId="0955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1849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pct"/>
            <w:tcBorders>
              <w:top w:val="nil"/>
              <w:left w:val="single" w:color="000000" w:sz="4" w:space="0"/>
              <w:bottom w:val="single" w:color="000000" w:sz="4" w:space="0"/>
              <w:right w:val="single" w:color="000000" w:sz="4" w:space="0"/>
            </w:tcBorders>
            <w:noWrap/>
            <w:vAlign w:val="center"/>
          </w:tcPr>
          <w:p w14:paraId="076DA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WiFi7 放装AP</w:t>
            </w:r>
          </w:p>
        </w:tc>
        <w:tc>
          <w:tcPr>
            <w:tcW w:w="3284" w:type="pct"/>
            <w:tcBorders>
              <w:top w:val="nil"/>
              <w:left w:val="single" w:color="000000" w:sz="4" w:space="0"/>
              <w:bottom w:val="single" w:color="000000" w:sz="4" w:space="0"/>
              <w:right w:val="single" w:color="000000" w:sz="4" w:space="0"/>
            </w:tcBorders>
            <w:noWrap w:val="0"/>
            <w:vAlign w:val="center"/>
          </w:tcPr>
          <w:p w14:paraId="636732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支持802.11be标准，采用双射频设计，整机空间流≥4条。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整机最大接入速率≥3.57Gbps。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支持2.5G以太网接口≥1个。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支持2.5G光口≥1个。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内置蓝牙版本≥5.3。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所投AP具有WLAN自动网优功能，不借助任何网络优化软件，仅通过AP配置进行无线网络优化，降低无线网络中的频段干扰。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支持边缘智能感知（RIPT）。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支持终端智能识别技术，可识别终端类型并上报。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为避免无线网络中私接非法AP，所投AP应支持非法AP检测及反制功能。具有非法AP的精确反制和模糊反制功能，能够主动识别非法设备并令非法设备不能使用。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为保障设备受到外部机械碰撞仍可以保持结构完整、功能完备，要求所投无线接入点符合国标GB/T20138-2023即《电器设备外壳对外界机械碰撞的防护等级（IK代码）》标准，至少达到防护等级IK09。</w:t>
            </w:r>
          </w:p>
        </w:tc>
        <w:tc>
          <w:tcPr>
            <w:tcW w:w="198" w:type="pct"/>
            <w:tcBorders>
              <w:top w:val="nil"/>
              <w:left w:val="single" w:color="000000" w:sz="4" w:space="0"/>
              <w:bottom w:val="single" w:color="000000" w:sz="4" w:space="0"/>
              <w:right w:val="single" w:color="000000" w:sz="4" w:space="0"/>
            </w:tcBorders>
            <w:noWrap/>
            <w:vAlign w:val="center"/>
          </w:tcPr>
          <w:p w14:paraId="03E15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nil"/>
              <w:left w:val="single" w:color="000000" w:sz="4" w:space="0"/>
              <w:bottom w:val="single" w:color="000000" w:sz="4" w:space="0"/>
              <w:right w:val="single" w:color="000000" w:sz="4" w:space="0"/>
            </w:tcBorders>
            <w:noWrap/>
            <w:vAlign w:val="center"/>
          </w:tcPr>
          <w:p w14:paraId="2F032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163</w:t>
            </w:r>
          </w:p>
        </w:tc>
      </w:tr>
      <w:tr w14:paraId="43FE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FDE1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0CB8A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WiFi7 面板AP</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7EA28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支持802.11be标准，采用双射频设计，整机空间流≥4条。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整机最大接入速率≥3.57Gbps。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面板型AP，支持嵌入86面板安装方式。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2.5G以太网上联口≥1个，1G以太网下联口≥4个。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内置蓝牙版本≥5.3。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5GHz单射频支持2*2MIMO，且单射频最大接入速率≥2.88Gbps。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支持≥1对Passthough透传口。</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59E58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50DA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r>
      <w:tr w14:paraId="11F6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3D8F6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3C491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WiFi7 室外全向AP</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0AD2C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室外型无线接入点。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支持802.11be标准。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整机≥双射频，≥4条空间流，整机最大无线接入速率≥3.575Gbps。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内置全向天线设计。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支持2.5G有线接口≥1个，支持2.5G光口≥1个。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支持内置蓝牙版本≥5.3。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避免无线网络中私接非法AP，所投AP具有非法AP的精确反制和模糊反制功能，能够主动识别非法设备并令非法设备不能使用。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为避免无线网络中私接非法AP的影响，设备应支持802.11w防御Deauth攻击功能，保证终端正常关联使用。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所投AP具有WLAN自动网优功能，不借助任何网络优化软件，仅通过AP配置进行无线网络优化，降低无线网络中的频段干扰。</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0B435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21C38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0B05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4CC3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2C0F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零漫游主机</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49B6C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整机最大无线接入速率≥5.970Gbps。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≥3个10/100/1000Base-T自适应以太网接口，其中≥2个支持IEEE802.3at/bt标准PoE受电；≥2个2.5GESFP口，SFP2口兼容1GESFP，SFP1口不支持1GESFP。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≥1个10/100/1000Base-T自适应以太网电口，支持对物联网单元供电（54V/10W）（物联网扩展应用）；≥1个标准MiniPCI-e扩展卡插槽，可扩展物联网应用。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Wi-Fi射频信号输出接口：≥8个QMA型射频接口。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配合ACWeb，可实现天馈线可视化、终端移动可视化。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为了保证物联网业务顺利开展，可支持双灵活物联网扩展应用，单AP含内置标准MiniPCI-e扩展卡插槽和外置PSE对物联网单元供电方式，为物联网设备供电、传输数据；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支持IEEE802.11a/b/g/n/ac/ax/be协议。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支持隐蔽部署，通过馈线外接美化天线实现病区的入室信号覆盖，应具有美化天线小尺寸设计（&lt;110mm×25mm）。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频率范围符合中国相关标准规定。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为保障医院移动医护业务不中断，内网业务需支持冗余备份，内网网络中断后，sta可以快速切换关联到备份网络使用。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支持内、外网物理隔离。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为保障设备受到外部机械碰撞仍可以保持结构完整、功能完备，要求所投无线接入点符合国标GB/T20138-2023即《电器设备外壳对外界机械碰撞的防护等级（IK代码）》标准，至少达到防护等级IK09。</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64FC9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B4A6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168</w:t>
            </w:r>
          </w:p>
        </w:tc>
      </w:tr>
      <w:tr w14:paraId="7647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DCFA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38B0F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单轨馈线1</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5520B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接口：QMA-J&amp;SMA-K(反)。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阻抗：≥50欧姆。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工作频段(MHz)：0~6000。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长度：≥10米。</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5B845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03A41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459</w:t>
            </w:r>
          </w:p>
        </w:tc>
      </w:tr>
      <w:tr w14:paraId="6C2B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A3EE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5C5CB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单轨馈线2</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E114E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接口：QMA-J&amp;SMA-K(反)。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阻抗：≥50欧姆。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工作频段(MHz)：0~6000。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长度：≥15米。</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179B4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27639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457</w:t>
            </w:r>
          </w:p>
        </w:tc>
      </w:tr>
      <w:tr w14:paraId="2B6F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6D15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1E41A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单轨馈线3</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5118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接口：QMA-J&amp;SMA-K(反)。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阻抗：≥50欧姆。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工作频段(MHz)：0~6000。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长度：≥5米。</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264BF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22EA8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93</w:t>
            </w:r>
          </w:p>
        </w:tc>
      </w:tr>
      <w:tr w14:paraId="7C79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0478D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0C895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C6A35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1、外观:圆形;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2、安装方式:吸顶,壁挂;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3、产品尺寸(直径×高):&lt;110mm×25mm;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4、重量&lt;0.2kg;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5、增益(dBi):2.4GHz:0.71  ;  5GHz:3.99;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6、接口:一个SMA-J(反)(内螺纹带孔);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7、工作频段(GHz):2.4GHz:2.400GHz~2.500GHz、5GHz:5.150GHz~5.850GHz;</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3AAD7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9D07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1009</w:t>
            </w:r>
          </w:p>
        </w:tc>
      </w:tr>
      <w:tr w14:paraId="5A88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C623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3" w:type="pct"/>
            <w:vMerge w:val="restart"/>
            <w:tcBorders>
              <w:top w:val="single" w:color="000000" w:sz="4" w:space="0"/>
              <w:left w:val="single" w:color="000000" w:sz="4" w:space="0"/>
              <w:bottom w:val="single" w:color="000000" w:sz="4" w:space="0"/>
              <w:right w:val="single" w:color="000000" w:sz="4" w:space="0"/>
            </w:tcBorders>
            <w:noWrap/>
            <w:vAlign w:val="center"/>
          </w:tcPr>
          <w:p w14:paraId="66EE5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POE交换机1</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85EF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交换容量≥6.7Tbps，转发性能≥250Mpps。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固化100M/1G/2.5G以太网端口≥24，10G/2.5G/1GSFP+光接口≥6个。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支持PoE/PoE+/PoE++远程供电，PoE++同时可供电端口数≥24个；支持并实配双模块化可热插拔电源，能够插AC、DC系列不同功率的电源模块，单电源PoE输出功率≥470W，双电源PoE输出功率≥1600W；本机未配置电源模块。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投标产品面板自带一键查看PoE供电状态功能的PoE按钮，轻按即可查看设备当前的通信状态和供电状态。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产品端口浪涌抗扰度≥10KV，即具备≥10KV的防雷能力。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支持IPv4和IPv6的静态路由、RIP/RIPng、OSPFv2/OSPFv3等三层路由协议。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支持SAVI功能，可防止地址解析欺骗。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支持CPU保护功能，能限制非法报文对CPU的攻击，保护交换机在各种环境下稳定工作。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支持专门基础网络保护机制的NFPP功能，能够限制用户向网络中发送数据包的速率，对有攻击行为的用户进行隔离，保证设备和整网的安全稳定运行。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支持快速以太网链路检测协议，可快速检测链路的通断和光纤链路的单向性，并支持端口下的环路检测功能。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支持虚拟化功能，即可将多台物理设备虚拟化为一台逻辑设备统一管理，并且链路故障的收敛时间≤200ms。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支持SNMP、CLI(Telnet/Console)、RMON、SSH、Syslog、NTP/SNTP、FTP、TFTP、Web。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设备自带支持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在≤480W负载的情况下，设备的噪音最大声压级≤40dB。</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3A875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7C110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r>
      <w:tr w14:paraId="4FD9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2B11F">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787BB4FC">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6270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本次配置≥1块≥600W交流电源模块。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产品尺寸：≤90mmx196mmx40mm。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支持双电源模块并联工作，从而可以实现受电设备电源系统1+1备份（当整机POE负载功率小于470W时），并且备份电源间具有负载均流功能；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具有防潮，防盐雾，防霉，绝缘，防漏电等功能。</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4CDB7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A69F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w:t>
            </w:r>
          </w:p>
        </w:tc>
      </w:tr>
      <w:tr w14:paraId="682B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nil"/>
              <w:right w:val="single" w:color="000000" w:sz="4" w:space="0"/>
            </w:tcBorders>
            <w:noWrap w:val="0"/>
            <w:vAlign w:val="center"/>
          </w:tcPr>
          <w:p w14:paraId="10372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767A5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POE交换机2</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BBE7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固化10/100/1000M以太网端口≥24，固化1G/10GSFP+非复用口≥4个，交换容量≥6.72Tbps，转发性能≥171Mpps。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要求所投设备MAC地址≥16K，ARP表项≥1000条，FIB表项≥500。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投标产品面板自带一键查看PoE供电状态功能的PoE按钮，轻按即可查看设备当前的通信状态和供电状态。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投标产品≥24个电口支持POE和POE+远程供电，POE+同时可供电端口数≥12个，整机POE功率输出≥370W，单端口POE输出功率≥60W。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支持IPv4和IPv6的静态路由、RIP/RIPng、OSPFv2/OSPFv3等三层路由协议。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要求所投设备支持1对1、1对多、多对1和基于流的本地、远程镜像；且支持RSPAN和ERSPAN。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要求所投产品支持sFlow网络监测技术，可提供完整的第二层到第四层信息，可以适应超大网络流量环境下的流量分析，让用户详细、实时地分析网络传输流的性能、趋势和存在的问题。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支持虚拟化功能，最多可将9台物理设备虚拟化为一台逻辑设备统一管理，并且链路故障的收敛时间≤30ms。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要求所投产品支持ITU-TG.8032国际公有环网协议ERPS,支持相切环和相交环，并且链路故障的收敛时间≤50ms。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符合国家低碳环保等政策要求，支持IEEE802.3az标准的EEE节能技术。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要求所投产品支持软件定义网络SDN，符合OpenFlow1.3协议标准。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支持SNMPv1/v2C/v3、CLI(Telnet/Console)、RMON(1,2,3,9)、SSH、Syslog、NTP/SNTP、FTP、TFTP、Web。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要求所投产品支持模块化操作系统，支持针对单一模块打热补丁，故障模块升级中不影响其他进程的正常运行和业务转发。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支持专门基础网络保护机制，能够限制用户向网络中发送数据包的速率，对有攻击行为的用户进行隔离，保证设备和整网的安全稳定运行。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12EA7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2A872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w:t>
            </w:r>
          </w:p>
        </w:tc>
      </w:tr>
      <w:tr w14:paraId="4344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6A1F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306DE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POE交换机3</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EB6A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固化10/100/1000M以太网电口≥8个，1G/2.5G/10GSFP+光接口≥1个。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交换容量≥6.72Tbps，包转发率≥126Mpps。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要求所投产品支持PoE和PoE+远程供电，PoE供电功率为125W。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尺寸应小，支持放入400mm*300mm*100mm的标准弱电箱中部署，保障室内环境的美观；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为保证设备在受到外接机械碰撞时能够正常运行，要求所投交换机IK防护测试级别至少达到IK05。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要求设备采用静音设计，噪声值＜20dB。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要求设备采用金属外壳和金属网口设计。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支持端口浪涌抗扰度≥8KV（即具备≥8KV的防雷能力）。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支持专门针对CPU的保护机制，能够针对发往CPU处理的各种报文进行流区分和优先级队列分级处理，保护交换机在各种环境下稳定工作。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符合国家低碳环保等政策要求，支持IEEE802.3az标准的EEE节能技术。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支持生成树协议RSTP(IEEE802.1w)，完全保证快速收敛，提高容错能力，保证网络的稳定运行和链路的负载均衡，合理使用网络通道，提供冗余链路利用率。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支持通过WEB可视化界面配置交换机。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室内交换机支持零配置上线。根据不同区域的业务创建相应业务模板后，绑定设备区域位置信息，设备开箱上电后配置即可自动从软件下发，无需在接入设备端刷入配置。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通过excel批量导入、基于楼栋交换机、基于楼栋交换机端口、基于SN编码、微信公众号扫码等多种方式绑定设备区域位置管理资产信息，适应不同工程厂商在网络开局阶段的工作流程，提供高效的资产登记和网络规划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支持创建交换机的业务模板，支持图形化界面提前规划各端口业务。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当室内交换机出现故障，支持替换用的新设备的零配置替换，新设备上电后配置自动下发，无需手动配置；并且支持智能零替换；支持自适应不同型号间的设备替换，以及替换后新设备支持终端在任意端口接入，并且终端在原有设备接入端口的配置可自动跟随到新设备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 支持光模块与光链路运维检测与故障告警，并可在拓扑中呈现并查看详细信息，包括提供告警原因分析与处理建议；支持在室内交换机上行链路断开、无法被网管软件发现纳管时，通过手持手机扫码一键拉取链路全部信息，无需逐点排查，快速定位是光模块还是光纤异常，并给出故障诊断及处理意见。</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72B7C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75D48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r>
      <w:tr w14:paraId="5C19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C431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43" w:type="pct"/>
            <w:vMerge w:val="restart"/>
            <w:tcBorders>
              <w:top w:val="single" w:color="000000" w:sz="4" w:space="0"/>
              <w:left w:val="single" w:color="000000" w:sz="4" w:space="0"/>
              <w:bottom w:val="single" w:color="000000" w:sz="4" w:space="0"/>
              <w:right w:val="single" w:color="000000" w:sz="4" w:space="0"/>
            </w:tcBorders>
            <w:noWrap/>
            <w:vAlign w:val="center"/>
          </w:tcPr>
          <w:p w14:paraId="00179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内网汇聚交换机</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88F80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配置≥1台内网汇聚交换机外框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汇聚设备的各通道间，应实现物理隔离。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中间节点设备、汇聚设备插入损耗≤4dB。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汇聚设备需支持集中机柜安装、交换设备线槽安装、壁挂等安装方式。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汇聚器件完全无源，无需插电即可正常工作。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为满足大汇聚场景的需要，汇聚产品插槽≥6个，满载支持48口接入。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方案中使用光模块的工作波长，应满足在1271nm~1571nm范围内。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支持通过excel批量导入，可在管理器上看到整网所有设备拓扑以及汇聚设备各端口的使用情况，当设备下线或链路故障时，也能有相应的提示。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汇聚设备各端口通道支持点到点透明传输，端口不分光、带宽不收敛，即接入侧端口速率与核心侧端口速率相同。</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5F636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237E3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r>
      <w:tr w14:paraId="7F31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B9285B">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08736294">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DF06B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配置≥1块内网汇聚交换机板卡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汇聚设备的各光链路通道应实现物理隔离，无分光，带宽1：1独享。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汇聚设备需支持集中机柜安装、壁挂等安装方式。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汇聚器件完全无源，无需插电即可正常工作。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为满足大汇聚场景的需要，汇聚产品固化端口数≥8。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控制器可显示整网拓扑，包括设备端口使用情况，链路故障能及时响应。</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662FC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19971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r>
      <w:tr w14:paraId="2C72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1B0E3">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51916E72">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67BD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配置≥1块内网汇聚交换机裂变器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汇聚设备需支持集中机柜安装、壁挂等安装方式。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汇聚器件完全无源，无需插电即可正常工作。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支持光链路信号的一分二，实现双上行组网。</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529F3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77CD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r>
      <w:tr w14:paraId="4F77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28813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25333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万兆接入侧彩光模块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F1D87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接入侧一组高功率万兆彩光模块，包含≥8个不同波长光模块，单模，10KM，LC，双上行情况下使用。</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38D5B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4EF1D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r>
      <w:tr w14:paraId="7595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77EC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3" w:type="pct"/>
            <w:vMerge w:val="restart"/>
            <w:tcBorders>
              <w:top w:val="single" w:color="000000" w:sz="4" w:space="0"/>
              <w:left w:val="single" w:color="000000" w:sz="4" w:space="0"/>
              <w:bottom w:val="single" w:color="000000" w:sz="4" w:space="0"/>
              <w:right w:val="single" w:color="000000" w:sz="4" w:space="0"/>
            </w:tcBorders>
            <w:noWrap/>
            <w:vAlign w:val="center"/>
          </w:tcPr>
          <w:p w14:paraId="57C88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内网无线核心交换机</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38FA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配置≥1台内网无线核心交换机框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交换容量≥307.2Tbps，包转发率≥38400Mpps。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主控引擎与业务板卡完全物理分离，采用全分布式转发处理架构，独立主控引擎插槽≥2个，独立业务插槽数≥3个。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支持主从引擎等关键模块，在转发数据流的期间进行热插拔零丢包。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符合业界主流机柜的尺寸规范要求，设备高度≤178mm(4U)，设备深度≤600mm。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为提高设备面板空间利用率，要求采用高密度端口设计，所投产品单张业务卡最大可用物理端口≥52个，整机转发业务物理端口≥156个。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支持硬件健康状态可视化，可以对风扇状态、电源、温度、电流、电压进行监控。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支持硬件层级双boot，采用两个FLASH芯片存储boot软件（系统引导程序），实现硬件级boot冗余备份，避免因FLASH芯片故障导致交换机无法启动。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支持故障隔离技术，可监测光模块运行状态：即系统可即时识别光模块短路状态、并将故障模块隔离，确保其不影响其它端口和整机的正常运行；更换模块后该端口也可马上恢复正常工作状态。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为了适应机柜并排部署，机箱业务板卡区采用后出风风道设计。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采用节能设计，核心交换机100G端口在负载100%的情况下每端口功率需要≤10W，10G端口在负载100%的情况下每端口功率需要≤2W。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支持N:1虚拟化：可将2台物理设备虚拟化为1台逻辑设备，查看所有设备的设备信息、接口信息，支持一键升级，且转发数据流时出现链路故障，造成的断流时间最快＜5ms。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支持VXLAN桥模式，VXLAN路由模式，支持MP-BGPEVPN。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支持IEEE802.1d(STP)、802.1w(RSTP)、802.1s(MSTP)，支持端口聚合，支持一对一镜像、多对一镜像、一对多镜像，支持流镜像，支持SPAN、RSPAN远程镜像。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支持静态路由、RIP、RIPng、OSPF、OSPFv3、BGP、BGP4+、ISIS、ISISv6，支持路由协议多实例，支持GRforOSPF/IS-IS/BGP，支持策略路由。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支持IPv6过渡技术，手工隧道、自动隧道、ISATAP隧道、支持GRE隧道。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支持专门针对CPU保护机制的功能，可将送CPU的报文，如ARP报文的速率进行限制，保障了CPU安全。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 支持基础安全保护策略，可实现ARP等各种攻击的自动防御，保护系统各种服务的正常运行。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 支持ERPS功能，检测到故障的切换收敛时间≤50ms。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 支持sFlow网络监测技术，可以适应超大网络流量环境下的流量分析，让用户详细、实时地分析网络传输流的性能、趋势和存在的问题。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 支持基于GRPC的Telemetry技术，实现对CPU、内存等信息的周期性采集。</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535E2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13420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5F91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81CB8">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7A75F998">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38003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配置≥1块内网无线核心交换机主控引擎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高性能引擎，四核处理器。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内存：≥4GB。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≥1个管理用Console口，≥1个10/100/1000MMGMT接口。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支持模块热插拔。</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4EBE6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15C85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16BD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A69C6">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413B95B4">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71920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配置≥1块内网无线核心交换机交流电源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通用电源模块，交流：功率≥460W。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额定电压范围：≥100且≤240V~；50/60Hz。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高压直流参数：输入：≥192VDC且≤288VDC；输出：功率≥460W。</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654AB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4B48F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r>
      <w:tr w14:paraId="293A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079048">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5E04FAA5">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CF6C4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配置≥1块内网无线核心交换机多业务接口线卡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≥24端口千兆以太网电口(RJ45)+≥8端口千兆以太网光口(SFP,LC)+≥8端口万兆以太网光口(SFP+,LC)。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内存：≥4GB；四核处理器。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支持模块热插拔。</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007E5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C630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1191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0B394">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1287C272">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1754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配置≥1块内网无线核心交换机超聚合板卡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含≥8个10G聚合接口。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四核处理器；≥4GB内存。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尺寸：≤438.5mmx346.0mmx40.1mm（宽×深×高）。</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30966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425C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r>
      <w:tr w14:paraId="5849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59F15">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4B7998B6">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8865C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配置≥1个内网无线核心交换机核心侧彩光模块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核心侧SFX万兆彩光模块，单芯，可同时支持≥8个不同波长（≥8台接入设备），单模，10KM，LC。</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2CAD5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50175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r>
      <w:tr w14:paraId="7C22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279279">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6036F057">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1338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配置≥1个内网无线核心交换机万兆多模光模块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万兆LC接口模块，适用于SFP+接口，传输距离≥300m。</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1D4D8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1E8A8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r>
      <w:tr w14:paraId="427F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7963C">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1BE180C1">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AC0F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配置≥1条内网无线核心交换机5M万兆虚拟化线缆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1、10GBaseSFP+光纤线缆（包含两边的模块），≥5米。</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7E8D8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00170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57C6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23EF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43" w:type="pct"/>
            <w:vMerge w:val="restart"/>
            <w:tcBorders>
              <w:top w:val="single" w:color="000000" w:sz="4" w:space="0"/>
              <w:left w:val="single" w:color="000000" w:sz="4" w:space="0"/>
              <w:bottom w:val="single" w:color="000000" w:sz="4" w:space="0"/>
              <w:right w:val="single" w:color="000000" w:sz="4" w:space="0"/>
            </w:tcBorders>
            <w:noWrap/>
            <w:vAlign w:val="center"/>
          </w:tcPr>
          <w:p w14:paraId="283A3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内网无线控制器授权</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4D8D7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内网无线控制器维保续保服务，本次对院内现有锐捷牌型号为RG-WS6812的无线控制器购买原厂相关维保一年/每台。</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6F6A6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728EF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r>
      <w:tr w14:paraId="0497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3B6B54">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4DF9C832">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72284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本次配置管理AP授权数量≥128个。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本次配置的授权可与院区原有内网无线控制器进行完美兼容，支持对本次新上线的AP进行统一管理、配置下发，原有内网无线控制器也可以实现授权共享；若不兼容，需要提供一整套设备，保证医院内网无线业务的连续性。</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340F5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945D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r>
      <w:tr w14:paraId="60CA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FC799">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ign w:val="center"/>
          </w:tcPr>
          <w:p w14:paraId="4D18E451">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48BC0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万兆LC接口模块，适用于SFP+接口，传输距离≥300m。</w:t>
            </w:r>
          </w:p>
        </w:tc>
        <w:tc>
          <w:tcPr>
            <w:tcW w:w="198" w:type="pct"/>
            <w:tcBorders>
              <w:top w:val="single" w:color="000000" w:sz="4" w:space="0"/>
              <w:left w:val="single" w:color="000000" w:sz="4" w:space="0"/>
              <w:bottom w:val="single" w:color="000000" w:sz="4" w:space="0"/>
              <w:right w:val="single" w:color="000000" w:sz="4" w:space="0"/>
            </w:tcBorders>
            <w:noWrap/>
            <w:vAlign w:val="center"/>
          </w:tcPr>
          <w:p w14:paraId="25CF2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53026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r>
      <w:tr w14:paraId="795B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7148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4687" w:type="pct"/>
            <w:gridSpan w:val="4"/>
            <w:tcBorders>
              <w:top w:val="single" w:color="000000" w:sz="4" w:space="0"/>
              <w:left w:val="single" w:color="000000" w:sz="4" w:space="0"/>
              <w:bottom w:val="single" w:color="000000" w:sz="4" w:space="0"/>
              <w:right w:val="single" w:color="000000" w:sz="4" w:space="0"/>
            </w:tcBorders>
            <w:noWrap w:val="0"/>
            <w:vAlign w:val="center"/>
          </w:tcPr>
          <w:p w14:paraId="02491AF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外网无线WiFi基础设施建设</w:t>
            </w:r>
          </w:p>
        </w:tc>
      </w:tr>
      <w:tr w14:paraId="7499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D645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1874E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WiFi7 放装AP</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1E3B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支持802.11be标准，采用双射频设计，整机空间流≥4条。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整机最大接入速率≥3.57Gbps。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支持2.5G以太网接口≥1个。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支持2.5G光口≥1个。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内置蓝牙版本≥5.3。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所投AP具有WLAN自动网优功能，不借助任何网络优化软件，仅通过AP配置进行无线网络优化，降低无线网络中的频段干扰。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支持边缘智能感知（RIPT）。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支持终端智能识别技术，可识别终端类型并上报。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为避免无线网络中私接非法AP，所投AP应支持非法AP检测及反制功能。具有非法AP的精确反制和模糊反制功能，能够主动识别非法设备并令非法设备不能使用。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为保障设备受到外部机械碰撞仍可以保持结构完整、功能完备，要求所投无线接入点符合国标GB/T20138-2023即《电器设备外壳对外界机械碰撞的防护等级（IK代码）》标准，至少达到防护等级IK09。</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60FF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5B12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227</w:t>
            </w:r>
          </w:p>
        </w:tc>
      </w:tr>
      <w:tr w14:paraId="7D82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3DA91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0EB0B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WiFi7 高密AP</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AE5F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采用三射频设计，整机支持≥8条空间流，整机最大无线速率≥6.45Gbps。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5GHz单射频支持4*4MIMO，且单射频最大接入速率≥5.76Gbps。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2.4G、5G频段均支持802.11be标准。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支持1个5G以太网电口和1个1G以太网电口。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支持10G光口≥1个。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内置蓝牙版本≥5.3。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支持USB2.0。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为快速建立高度隔离的安全网络，设备应支持实现AP虚拟化功能，实现一台AP虚拟为多台AP，分别受不同AC设备独立管理，互不影响。不同虚拟AP之间数据隔离，虚拟AP在AC上不占用APLicense。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为保障移动终端的网络性能，AP可使用额外的一个独立射频进行环境扫描，并将信息上传AC，由AC引导终端漫游到附近信号更好的AP，减少网络中的粘性终端以及避免终端主动漫游产生的丢包。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为避免无线网络中私接非法AP，所投AP支持额外的一个独立射频，具有非法AP的检测、精确反制和模糊反制功能，令非法设备不能使用。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为保障设备受到外部机械碰撞仍可以保持结构完整、功能完备，要求所投无线接入点符合国标GB/T20138-2023即《电器设备外壳对外界机械碰撞的防护等级（IK代码）》标准，至少达到防护等级IK09。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内置多档天线切换可实现天线切换抗干扰能力提升。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能够针对关键应用，进行VIP应用优先级保障；针对VIP用户，进行VIP用户的优先接入。</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2377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E285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w:t>
            </w:r>
          </w:p>
        </w:tc>
      </w:tr>
      <w:tr w14:paraId="255A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F0BE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1F664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WiFi7 室外全向AP</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36729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室外型无线接入点。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支持802.11be标准。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整机≥双射频，≥4条空间流，整机最大无线接入速率≥3.575Gbps。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内置全向天线设计。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支持2.5G有线接口≥1个，支持2.5G光口≥1个。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支持内置蓝牙版本≥5.3。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避免无线网络中私接非法AP，所投AP具有非法AP的精确反制和模糊反制功能，能够主动识别非法设备并令非法设备不能使用。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为避免无线网络中私接非法AP的影响，设备应支持802.11w防御Deauth攻击功能，保证终端正常关联使用。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所投AP具有WLAN自动网优功能，不借助任何网络优化软件，仅通过AP配置进行无线网络优化，降低无线网络中的频段干扰。</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442F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2AB3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r>
      <w:tr w14:paraId="721C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nil"/>
              <w:right w:val="single" w:color="000000" w:sz="4" w:space="0"/>
            </w:tcBorders>
            <w:noWrap w:val="0"/>
            <w:vAlign w:val="center"/>
          </w:tcPr>
          <w:p w14:paraId="4701A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3" w:type="pct"/>
            <w:vMerge w:val="restart"/>
            <w:tcBorders>
              <w:top w:val="single" w:color="000000" w:sz="4" w:space="0"/>
              <w:left w:val="single" w:color="000000" w:sz="4" w:space="0"/>
              <w:bottom w:val="nil"/>
              <w:right w:val="single" w:color="000000" w:sz="4" w:space="0"/>
            </w:tcBorders>
            <w:noWrap w:val="0"/>
            <w:vAlign w:val="center"/>
          </w:tcPr>
          <w:p w14:paraId="6DD0A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POE交换机1</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3AFFD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交换容量≥6.7Tbps，转发性能≥250Mpps。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固化100M/1G/2.5G以太网端口≥24，10G/2.5G/1GSFP+光接口≥6个。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支持PoE/PoE+/PoE++远程供电，PoE++同时可供电端口数≥24个；支持并实配双模块化可热插拔电源，能够插AC、DC系列不同功率的电源模块，单电源PoE输出功率≥470W，双电源PoE输出功率≥1600W；本机未配置电源模块。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投标产品面板自带一键查看PoE供电状态功能的PoE按钮，轻按即可查看设备当前的通信状态和供电状态。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产品端口浪涌抗扰度≥10KV，即具备≥10KV的防雷能力。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支持IPv4和IPv6的静态路由、RIP/RIPng、OSPFv2/OSPFv3等三层路由协议。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支持SAVI功能，可防止地址解析欺骗。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支持CPU保护功能，能限制非法报文对CPU的攻击，保护交换机在各种环境下稳定工作。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支持专门基础网络保护机制的NFPP功能，能够限制用户向网络中发送数据包的速率，对有攻击行为的用户进行隔离，保证设备和整网的安全稳定运行。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支持快速以太网链路检测协议，可快速检测链路的通断和光纤链路的单向性，并支持端口下的环路检测功能。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支持虚拟化功能，即可将多台物理设备虚拟化为一台逻辑设备统一管理，并且链路故障的收敛时间≤200ms。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支持SNMP、CLI(Telnet/Console)、RMON、SSH、Syslog、NTP/SNTP、FTP、TFTP、Web；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设备自带支持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在≤480W负载的情况下，设备的噪音最大声压级≤40dB。</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5DFEF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E316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r>
      <w:tr w14:paraId="406F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730ADDE4">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nil"/>
              <w:right w:val="single" w:color="000000" w:sz="4" w:space="0"/>
            </w:tcBorders>
            <w:noWrap w:val="0"/>
            <w:vAlign w:val="center"/>
          </w:tcPr>
          <w:p w14:paraId="72442243">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AB35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本次配置≥1块≥600W交流电源模块。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产品尺寸：≤90mmx196mmx40mm。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支持双电源模块并联工作，从而可以实现受电设备电源系统1+1备份（当整机POE负载功率小于470W时），并且备份电源间具有负载均流功能。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具有防潮，防盐雾，防霉，绝缘，防漏电等功能。</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CB48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4EB3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r>
      <w:tr w14:paraId="5E7A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nil"/>
              <w:right w:val="single" w:color="000000" w:sz="4" w:space="0"/>
            </w:tcBorders>
            <w:noWrap w:val="0"/>
            <w:vAlign w:val="center"/>
          </w:tcPr>
          <w:p w14:paraId="05DAB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364B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POE交换机2</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D039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固化10/100/1000M以太网端口≥24，固化1G/10GSFP+非复用口≥4个，交换容量≥6.72Tbps，转发性能≥171Mpps。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要求所投设备MAC地址≥16K，ARP表项≥1000条，FIB表项≥500。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投标产品面板自带一键查看PoE供电状态功能的PoE按钮，轻按即可查看设备当前的通信状态和供电状态。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投标产品≥24个电口支持POE和POE+远程供电，POE+同时可供电端口数≥12个，整机POE功率输出≥370W，单端口POE输出功率≥60W。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支持IPv4和IPv6的静态路由、RIP/RIPng、OSPFv2/OSPFv3等三层路由协议。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要求所投设备支持1对1、1对多、多对1和基于流的本地、远程镜像；且支持RSPAN和ERSPAN。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要求所投产品支持sFlow网络监测技术，可提供完整的第二层到第四层信息，可以适应超大网络流量环境下的流量分析，让用户详细、实时地分析网络传输流的性能、趋势和存在的问题。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支持虚拟化功能，最多可将9台物理设备虚拟化为一台逻辑设备统一管理，并且链路故障的收敛时间≤30ms。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要求所投产品支持ITU-TG.8032国际公有环网协议ERPS,支持相切环和相交环，并且链路故障的收敛时间≤50ms。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符合国家低碳环保等政策要求，支持IEEE802.3az标准的EEE节能技术。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要求所投产品支持软件定义网络SDN，符合OpenFlow1.3协议标准。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支持SNMPv1/v2C/v3、CLI(Telnet/Console)、RMON(1,2,3,9)、SSH、Syslog、NTP/SNTP、FTP、TFTP、Web。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要求所投产品支持模块化操作系统，支持针对单一模块打热补丁，故障模块升级中不影响其他进程的正常运行和业务转发。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支持专门基础网络保护机制，能够限制用户向网络中发送数据包的速率，对有攻击行为的用户进行隔离，保证设备和整网的安全稳定运行。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4007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8CB5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r>
      <w:tr w14:paraId="4E81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nil"/>
              <w:right w:val="single" w:color="000000" w:sz="4" w:space="0"/>
            </w:tcBorders>
            <w:noWrap w:val="0"/>
            <w:vAlign w:val="center"/>
          </w:tcPr>
          <w:p w14:paraId="5315E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52B59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3284" w:type="pct"/>
            <w:tcBorders>
              <w:top w:val="single" w:color="000000" w:sz="4" w:space="0"/>
              <w:left w:val="nil"/>
              <w:bottom w:val="single" w:color="000000" w:sz="4" w:space="0"/>
              <w:right w:val="single" w:color="000000" w:sz="4" w:space="0"/>
            </w:tcBorders>
            <w:noWrap w:val="0"/>
            <w:vAlign w:val="center"/>
          </w:tcPr>
          <w:p w14:paraId="09DDD9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固化10/100/1000M以太网端口≥24，固化1G/10GSFP+万兆光接口≥4个；整机最大可用千兆口≥24，最大可用万兆口≥4，交换容量≥6.72Tbps，转发性能≥171Mpps。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支持固化电源，减少单点故障，便于维护。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支持IPv4和IPv6的静态路由、RIP/RIPng、OSPFv2/OSPFv3等三层路由协议。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要求所投设备MAC地址≥16K；ARP表项≥1000条,FIB表项≥500。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支持IP标准、IP扩展、MAC扩展、专家级、ACL80、IPV6ACL、基于VLAN、基于端口、基于协议、基于全局等方式的访问控制列表；且支持ACLLogging、ACLCounter、ACLRemark、ACL重定向。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要求所投设备支持1对1、1对多、多对1和基于流的镜像；且支持RSPAN和ERSPAN。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支持虚拟化功能（非堆叠模块实现，不占用扩展槽）。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要求所投产品支持ITU-TG.8032国际公有环网协议ERPS,支持相切环和相交环，并且链路故障的收敛时间≤50ms。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支持虚拟化功能，可将多台物理设备虚拟化为一台逻辑设备统一管理，并且链路故障的收敛时间≤30ms。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为保证SDN的部署，所投交换机需支持OpenFlow1.3协议。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支持专门针对CPU保护机制的CPP功能，可将送CPU的报文，如ARP报文的速率进行限制，使CPU的使用率降低到10%以内，保障了CPU安全。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为了避免强雷雨天气，设备遭受雷击损坏；要求所投产品端口浪涌抗扰度≥10KV；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支持≥24*Gbe+4*10Gbe100%线速转发。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支持专门基础网络保护机制的NFPP功能，支持多种类型的防护，如ARP防护，当ARP速率超过攻击水线，对有攻击行为的用户进行隔离，保证设备和整网的安全稳定运行。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9355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218B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r>
      <w:tr w14:paraId="7889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nil"/>
              <w:right w:val="single" w:color="000000" w:sz="4" w:space="0"/>
            </w:tcBorders>
            <w:noWrap w:val="0"/>
            <w:vAlign w:val="center"/>
          </w:tcPr>
          <w:p w14:paraId="0A719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43" w:type="pct"/>
            <w:tcBorders>
              <w:top w:val="single" w:color="000000" w:sz="4" w:space="0"/>
              <w:left w:val="single" w:color="000000" w:sz="4" w:space="0"/>
              <w:bottom w:val="nil"/>
              <w:right w:val="single" w:color="000000" w:sz="4" w:space="0"/>
            </w:tcBorders>
            <w:noWrap w:val="0"/>
            <w:vAlign w:val="center"/>
          </w:tcPr>
          <w:p w14:paraId="2F19F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POE交换机3</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BE8D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固化10/100/1000M以太网电口≥8个，1G/2.5G/10GSFP+光接口≥1个。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交换容量≥6.72Tbps，包转发率≥126Mpps。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要求所投产品支持PoE和PoE+远程供电，PoE供电功率为125W。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尺寸应小，支持放入400*300*100的标准弱电箱中部署，保障室内环境的美观。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为保证设备在受到外接机械碰撞时能够正常运行，要求所投交换机IK防护测试级别至少达到IK05；。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要求设备采用静音设计，噪声值＜20dB。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要求设备采用金属外壳和金属网口设计。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支持端口浪涌抗扰度≥8KV（即具备≥8KV的防雷能力）。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支持专门针对CPU的保护机制，能够针对发往CPU处理的各种报文进行流区分和优先级队列分级处理，保护交换机在各种环境下稳定工作。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符合国家低碳环保等政策要求，支持IEEE802.3az标准的EEE节能技术。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支持生成树协议RSTP(IEEE802.1w)，完全保证快速收敛，提高容错能力，保证网络的稳定运行和链路的负载均衡，合理使用网络通道，提供冗余链路利用率。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支持通过WEB可视化界面配置交换机。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室内交换机支持零配置上线。根据不同区域的业务创建相应业务模板后，绑定设备区域位置信息，设备开箱上电后配置即可自动从软件下发，无需在接入设备端刷入配置。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通过excel批量导入、基于楼栋交换机、基于楼栋交换机端口、基于SN编码、微信公众号扫码等多种方式绑定设备区域位置管理资产信息，适应不同工程厂商在网络开局阶段的工作流程，提供高效的资产登记和网络规划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支持创建交换机的业务模板，支持图形化界面提前规划各端口业务。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当室内交换机出现故障，支持替换用的新设备的零配置替换，新设备上电后配置自动下发，无需手动配置；并且支持智能零替换；支持自适应不同型号间的设备替换，以及替换后新设备支持终端在任意端口接入，并且终端在原有设备接入端口的配置可自动跟随到新设备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 支持光模块与光链路运维检测与故障告警，并可在拓扑中呈现并查看详细信息，包括提供告警原因分析与处理建议；支持在室内交换机上行链路断开、无法被网管软件发现纳管时，通过手持手机扫码一键拉取链路全部信息，无需逐点排查，快速定位是光模块还是光纤异常，并给出故障诊断及处理意见。</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F77F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6D15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r>
      <w:tr w14:paraId="13B2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nil"/>
              <w:right w:val="single" w:color="000000" w:sz="4" w:space="0"/>
            </w:tcBorders>
            <w:noWrap w:val="0"/>
            <w:vAlign w:val="center"/>
          </w:tcPr>
          <w:p w14:paraId="5D429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5FE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外网汇聚交换机</w:t>
            </w:r>
          </w:p>
        </w:tc>
        <w:tc>
          <w:tcPr>
            <w:tcW w:w="3284" w:type="pct"/>
            <w:tcBorders>
              <w:top w:val="single" w:color="000000" w:sz="4" w:space="0"/>
              <w:left w:val="nil"/>
              <w:bottom w:val="single" w:color="000000" w:sz="4" w:space="0"/>
              <w:right w:val="single" w:color="000000" w:sz="4" w:space="0"/>
            </w:tcBorders>
            <w:noWrap w:val="0"/>
            <w:vAlign w:val="center"/>
          </w:tcPr>
          <w:p w14:paraId="5ECBBF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配置≥1台外网汇聚交换机外框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汇聚设备的各通道间，应实现物理隔离。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中间节点设备、汇聚设备插入损耗≤4dB。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汇聚设备需支持集中机柜安装、交换设备线槽安装、壁挂等安装方式。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汇聚器件完全无源，无需插电即可正常工作。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为满足大汇聚场景的需要，汇聚产品插槽≥6个，满载支持48口接入。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方案中使用光模块的工作波长，应满足在1271nm~1571nm范围内。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支持通过excel批量导入，可在管理器上看到整网所有设备拓扑以及汇聚设备各端口的使用情况，当设备下线或链路故障时，也能有相应的提示。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汇聚设备各端口通道支持点到点透明传输，端口不分光、带宽不收敛，即接入侧端口速率与核心侧端口速率相同。</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35C1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9D75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r>
      <w:tr w14:paraId="5880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4AAAEE4A">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D355DE">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nil"/>
              <w:bottom w:val="single" w:color="000000" w:sz="4" w:space="0"/>
              <w:right w:val="single" w:color="000000" w:sz="4" w:space="0"/>
            </w:tcBorders>
            <w:noWrap w:val="0"/>
            <w:vAlign w:val="center"/>
          </w:tcPr>
          <w:p w14:paraId="588014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配置≥1块外网汇聚交换机板卡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汇聚设备的各光链路通道应实现物理隔离，无分光，带宽1：1独享。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汇聚设备需支持集中机柜安装、壁挂等安装方式。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汇聚器件完全无源，无需插电即可正常工作。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为满足大汇聚场景的需要，汇聚产品固化端口数≥8。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控制器可显示整网拓扑，包括设备端口使用情况，链路故障能及时响应。</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FF66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3479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r>
      <w:tr w14:paraId="7284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1413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3" w:type="pct"/>
            <w:tcBorders>
              <w:top w:val="nil"/>
              <w:left w:val="single" w:color="000000" w:sz="4" w:space="0"/>
              <w:bottom w:val="single" w:color="000000" w:sz="4" w:space="0"/>
              <w:right w:val="single" w:color="000000" w:sz="4" w:space="0"/>
            </w:tcBorders>
            <w:noWrap w:val="0"/>
            <w:vAlign w:val="center"/>
          </w:tcPr>
          <w:p w14:paraId="52A84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万兆接入侧彩光模块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3ADC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接入侧一组高功率万兆彩光模块，包含≥8个不同波长光模块，单模，10KM，LC，双上行情况下使用。</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CE68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F6C8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r>
      <w:tr w14:paraId="69CD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nil"/>
              <w:right w:val="single" w:color="000000" w:sz="4" w:space="0"/>
            </w:tcBorders>
            <w:noWrap w:val="0"/>
            <w:vAlign w:val="center"/>
          </w:tcPr>
          <w:p w14:paraId="2CD41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3" w:type="pct"/>
            <w:vMerge w:val="restart"/>
            <w:tcBorders>
              <w:top w:val="nil"/>
              <w:left w:val="nil"/>
              <w:bottom w:val="nil"/>
              <w:right w:val="single" w:color="000000" w:sz="4" w:space="0"/>
            </w:tcBorders>
            <w:noWrap w:val="0"/>
            <w:vAlign w:val="center"/>
          </w:tcPr>
          <w:p w14:paraId="67F84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外网无线核心交换机</w:t>
            </w:r>
          </w:p>
        </w:tc>
        <w:tc>
          <w:tcPr>
            <w:tcW w:w="3284" w:type="pct"/>
            <w:tcBorders>
              <w:top w:val="single" w:color="000000" w:sz="4" w:space="0"/>
              <w:left w:val="nil"/>
              <w:bottom w:val="single" w:color="000000" w:sz="4" w:space="0"/>
              <w:right w:val="single" w:color="000000" w:sz="4" w:space="0"/>
            </w:tcBorders>
            <w:noWrap w:val="0"/>
            <w:vAlign w:val="center"/>
          </w:tcPr>
          <w:p w14:paraId="18FE14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配置≥1台外网无线核心交换机框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交换容量≥307.2Tbps，包转发率≥38400Mpps。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主控引擎与业务板卡完全物理分离,采用全分布式转发处理架构，独立主控引擎插槽≥2个，独立业务插槽数≥3个。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支持主从引擎等关键模块，在转发数据流的期间进行热插拔零丢包。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符合业界主流机柜的尺寸规范要求，设备高度≤178mm(4U)，设备深度≤600mm。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为提高设备面板空间利用率，要求采用高密度端口设计，所投产品单张业务卡最大可用物理端口≥52个，整机转发业务物理端口≥156个。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支持硬件健康状态可视化，可以对风扇状态、电源、温度、电流、电压进行监控。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支持硬件层级双boot，采用两个FLASH芯片存储boot软件（系统引导程序），实现硬件级boot冗余备份，避免因FLASH芯片故障导致交换机无法启动。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支持故障隔离技术，可监测光模块运行状态：即系统可即时识别光模块短路状态、并将故障模块隔离，确保其不影响其它端口和整机的正常运行；更换模块后该端口也可马上恢复正常工作状态。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为了适应机柜并排部署，机箱业务板卡区采用后出风风道设计。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采用节能设计，核心交换机100G端口在负载100%的情况下每端口功率需要≤10W，10G端口在负载100%的情况下每端口功率需要≤2W。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支持N:1虚拟化：可将2台物理设备虚拟化为1台逻辑设备，查看所有设备的设备信息、接口信息，支持一键升级，且转发数据流时出现链路故障，造成的断流时间最快＜5ms。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支持VXLAN桥模式，VXLAN路由模式，支持MP-BGPEVPN。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支持IEEE802.1d(STP)、802.1w(RSTP)、802.1s(MSTP)，支持端口聚合，支持一对一镜像、多对一镜像、一对多镜像，支持流镜像，支持SPAN、RSPAN远程镜像。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支持静态路由、RIP、RIPng、OSPF、OSPFv3、BGP、BGP4+、ISIS、ISISv6，支持路由协议多实例，支持GRforOSPF/IS-IS/BGP，支持策略路由。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支持IPv6过渡技术，手工隧道、自动隧道、ISATAP隧道、支持GRE隧道。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支持专门针对CPU保护机制的功能，可将送CPU的报文，如ARP报文的速率进行限制，保障了CPU安全。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 支持基础安全保护策略，可实现ARP等各种攻击的自动防御，保护系统各种服务的正常运行。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 支持ERPS功能，检测到故障的切换收敛时间≤50ms。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 支持sFlow网络监测技术，可以适应超大网络流量环境下的流量分析，让用户详细、实时地分析网络传输流的性能、趋势和存在的问题。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 支持基于GRPC的Telemetry技术，实现对CPU、内存等信息的周期性采集。</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6BD8C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E745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3EA7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75E4AC80">
            <w:pPr>
              <w:jc w:val="center"/>
              <w:rPr>
                <w:rFonts w:hint="eastAsia" w:ascii="宋体" w:hAnsi="宋体" w:eastAsia="宋体" w:cs="宋体"/>
                <w:i w:val="0"/>
                <w:iCs w:val="0"/>
                <w:color w:val="000000"/>
                <w:sz w:val="21"/>
                <w:szCs w:val="21"/>
                <w:u w:val="none"/>
              </w:rPr>
            </w:pPr>
          </w:p>
        </w:tc>
        <w:tc>
          <w:tcPr>
            <w:tcW w:w="743" w:type="pct"/>
            <w:vMerge w:val="continue"/>
            <w:tcBorders>
              <w:top w:val="nil"/>
              <w:left w:val="nil"/>
              <w:bottom w:val="nil"/>
              <w:right w:val="single" w:color="000000" w:sz="4" w:space="0"/>
            </w:tcBorders>
            <w:noWrap w:val="0"/>
            <w:vAlign w:val="center"/>
          </w:tcPr>
          <w:p w14:paraId="182B29A1">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nil"/>
              <w:bottom w:val="single" w:color="000000" w:sz="4" w:space="0"/>
              <w:right w:val="single" w:color="000000" w:sz="4" w:space="0"/>
            </w:tcBorders>
            <w:noWrap w:val="0"/>
            <w:vAlign w:val="center"/>
          </w:tcPr>
          <w:p w14:paraId="4085B6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配置≥1块外网无线核心交换机主控引擎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高性能引擎，至少为四核处理器。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内存：≥4GB。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≥1个管理用Console口，≥1个10/100/1000MMGMT接口。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支持模块热插拔。</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6BD8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9589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5BC3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1C156F4E">
            <w:pPr>
              <w:jc w:val="center"/>
              <w:rPr>
                <w:rFonts w:hint="eastAsia" w:ascii="宋体" w:hAnsi="宋体" w:eastAsia="宋体" w:cs="宋体"/>
                <w:i w:val="0"/>
                <w:iCs w:val="0"/>
                <w:color w:val="000000"/>
                <w:sz w:val="21"/>
                <w:szCs w:val="21"/>
                <w:u w:val="none"/>
              </w:rPr>
            </w:pPr>
          </w:p>
        </w:tc>
        <w:tc>
          <w:tcPr>
            <w:tcW w:w="743" w:type="pct"/>
            <w:vMerge w:val="continue"/>
            <w:tcBorders>
              <w:top w:val="nil"/>
              <w:left w:val="nil"/>
              <w:bottom w:val="nil"/>
              <w:right w:val="single" w:color="000000" w:sz="4" w:space="0"/>
            </w:tcBorders>
            <w:noWrap w:val="0"/>
            <w:vAlign w:val="center"/>
          </w:tcPr>
          <w:p w14:paraId="0E9FBF74">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nil"/>
              <w:bottom w:val="single" w:color="000000" w:sz="4" w:space="0"/>
              <w:right w:val="single" w:color="000000" w:sz="4" w:space="0"/>
            </w:tcBorders>
            <w:noWrap w:val="0"/>
            <w:vAlign w:val="center"/>
          </w:tcPr>
          <w:p w14:paraId="101A6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配置≥1块外网无线核心交换机交流电源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通用电源模块，交流：功率≥460W。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额定电压范围：≥100且≤240V~；50/60Hz。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高压直流参数：输入：≥192VDC且≤288VDC；输出：功率≥460W。</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6947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1281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120F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76EF500D">
            <w:pPr>
              <w:jc w:val="center"/>
              <w:rPr>
                <w:rFonts w:hint="eastAsia" w:ascii="宋体" w:hAnsi="宋体" w:eastAsia="宋体" w:cs="宋体"/>
                <w:i w:val="0"/>
                <w:iCs w:val="0"/>
                <w:color w:val="000000"/>
                <w:sz w:val="21"/>
                <w:szCs w:val="21"/>
                <w:u w:val="none"/>
              </w:rPr>
            </w:pPr>
          </w:p>
        </w:tc>
        <w:tc>
          <w:tcPr>
            <w:tcW w:w="743" w:type="pct"/>
            <w:vMerge w:val="continue"/>
            <w:tcBorders>
              <w:top w:val="nil"/>
              <w:left w:val="nil"/>
              <w:bottom w:val="nil"/>
              <w:right w:val="single" w:color="000000" w:sz="4" w:space="0"/>
            </w:tcBorders>
            <w:noWrap w:val="0"/>
            <w:vAlign w:val="center"/>
          </w:tcPr>
          <w:p w14:paraId="55234FE8">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nil"/>
              <w:bottom w:val="single" w:color="000000" w:sz="4" w:space="0"/>
              <w:right w:val="single" w:color="000000" w:sz="4" w:space="0"/>
            </w:tcBorders>
            <w:noWrap w:val="0"/>
            <w:vAlign w:val="center"/>
          </w:tcPr>
          <w:p w14:paraId="5342CF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配置≥1块外网无线核心交换机多业务接口线卡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≥24端口千兆以太网电口(RJ45)+≥8端口千兆以太网光口(SFP,LC)+≥8端口万兆以太网光口(SFP+,LC)。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内存：≥4GB；至少为四核处理器。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支持模块热插拔。</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40F0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995F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120D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3432F694">
            <w:pPr>
              <w:jc w:val="center"/>
              <w:rPr>
                <w:rFonts w:hint="eastAsia" w:ascii="宋体" w:hAnsi="宋体" w:eastAsia="宋体" w:cs="宋体"/>
                <w:i w:val="0"/>
                <w:iCs w:val="0"/>
                <w:color w:val="000000"/>
                <w:sz w:val="21"/>
                <w:szCs w:val="21"/>
                <w:u w:val="none"/>
              </w:rPr>
            </w:pPr>
          </w:p>
        </w:tc>
        <w:tc>
          <w:tcPr>
            <w:tcW w:w="743" w:type="pct"/>
            <w:vMerge w:val="continue"/>
            <w:tcBorders>
              <w:top w:val="nil"/>
              <w:left w:val="nil"/>
              <w:bottom w:val="nil"/>
              <w:right w:val="single" w:color="000000" w:sz="4" w:space="0"/>
            </w:tcBorders>
            <w:noWrap w:val="0"/>
            <w:vAlign w:val="center"/>
          </w:tcPr>
          <w:p w14:paraId="1DE1B87C">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nil"/>
              <w:bottom w:val="single" w:color="000000" w:sz="4" w:space="0"/>
              <w:right w:val="single" w:color="000000" w:sz="4" w:space="0"/>
            </w:tcBorders>
            <w:noWrap w:val="0"/>
            <w:vAlign w:val="center"/>
          </w:tcPr>
          <w:p w14:paraId="413E1C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配置≥1块外网无线核心交换机超聚合板卡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含≥8个10G聚合接口。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至少为四核处理器；≥4GB内存。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尺寸：≤438.5mmx346.0mmx40.1mm（宽×深×高）。</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241D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6D8A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7070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53E23729">
            <w:pPr>
              <w:jc w:val="center"/>
              <w:rPr>
                <w:rFonts w:hint="eastAsia" w:ascii="宋体" w:hAnsi="宋体" w:eastAsia="宋体" w:cs="宋体"/>
                <w:i w:val="0"/>
                <w:iCs w:val="0"/>
                <w:color w:val="000000"/>
                <w:sz w:val="21"/>
                <w:szCs w:val="21"/>
                <w:u w:val="none"/>
              </w:rPr>
            </w:pPr>
          </w:p>
        </w:tc>
        <w:tc>
          <w:tcPr>
            <w:tcW w:w="743" w:type="pct"/>
            <w:vMerge w:val="continue"/>
            <w:tcBorders>
              <w:top w:val="nil"/>
              <w:left w:val="nil"/>
              <w:bottom w:val="nil"/>
              <w:right w:val="single" w:color="000000" w:sz="4" w:space="0"/>
            </w:tcBorders>
            <w:noWrap w:val="0"/>
            <w:vAlign w:val="center"/>
          </w:tcPr>
          <w:p w14:paraId="58768338">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nil"/>
              <w:bottom w:val="single" w:color="000000" w:sz="4" w:space="0"/>
              <w:right w:val="single" w:color="000000" w:sz="4" w:space="0"/>
            </w:tcBorders>
            <w:noWrap w:val="0"/>
            <w:vAlign w:val="center"/>
          </w:tcPr>
          <w:p w14:paraId="5DACA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配置≥1个外网无线核心交换机核心侧彩光模块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核心侧SFX万兆彩光模块，单芯，可同时支持≥8个不同波长（≥8台接入设备），单模，10KM，LC。</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26911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5766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r>
      <w:tr w14:paraId="7EDE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1CDCCE83">
            <w:pPr>
              <w:jc w:val="center"/>
              <w:rPr>
                <w:rFonts w:hint="eastAsia" w:ascii="宋体" w:hAnsi="宋体" w:eastAsia="宋体" w:cs="宋体"/>
                <w:i w:val="0"/>
                <w:iCs w:val="0"/>
                <w:color w:val="000000"/>
                <w:sz w:val="21"/>
                <w:szCs w:val="21"/>
                <w:u w:val="none"/>
              </w:rPr>
            </w:pPr>
            <w:bookmarkStart w:id="6" w:name="OLE_LINK9" w:colFirst="2" w:colLast="2"/>
          </w:p>
        </w:tc>
        <w:tc>
          <w:tcPr>
            <w:tcW w:w="743" w:type="pct"/>
            <w:vMerge w:val="continue"/>
            <w:tcBorders>
              <w:top w:val="nil"/>
              <w:left w:val="nil"/>
              <w:bottom w:val="nil"/>
              <w:right w:val="single" w:color="000000" w:sz="4" w:space="0"/>
            </w:tcBorders>
            <w:noWrap w:val="0"/>
            <w:vAlign w:val="center"/>
          </w:tcPr>
          <w:p w14:paraId="16C4E2A1">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nil"/>
              <w:bottom w:val="single" w:color="000000" w:sz="4" w:space="0"/>
              <w:right w:val="single" w:color="000000" w:sz="4" w:space="0"/>
            </w:tcBorders>
            <w:noWrap w:val="0"/>
            <w:vAlign w:val="center"/>
          </w:tcPr>
          <w:p w14:paraId="727BF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配置≥1个外网无线核心交换机万兆多模光模块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万兆LC接口模块，适用于SFP+接口，传输距离≥300m。</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36CA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9B2C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r>
      <w:bookmarkEnd w:id="6"/>
      <w:tr w14:paraId="2BA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nil"/>
              <w:right w:val="single" w:color="000000" w:sz="4" w:space="0"/>
            </w:tcBorders>
            <w:noWrap w:val="0"/>
            <w:vAlign w:val="center"/>
          </w:tcPr>
          <w:p w14:paraId="239A5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3" w:type="pct"/>
            <w:vMerge w:val="restart"/>
            <w:tcBorders>
              <w:top w:val="single" w:color="000000" w:sz="4" w:space="0"/>
              <w:left w:val="single" w:color="000000" w:sz="4" w:space="0"/>
              <w:bottom w:val="nil"/>
              <w:right w:val="single" w:color="000000" w:sz="4" w:space="0"/>
            </w:tcBorders>
            <w:noWrap w:val="0"/>
            <w:vAlign w:val="center"/>
          </w:tcPr>
          <w:p w14:paraId="4A0DE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外网无线控制器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7E32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最大可支持管理≥1024个AP。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单台设备最大可管理用户数≥10240。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为保障无线网络的可靠性，单台设备最大可配置AP数目≥2048。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整机吞吐性能≥20G。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为保障设备受到外部机械碰撞仍可以保持结构完整、功能完备，要求所投无线控制器符合国标GB/T20138-2023《电器设备外壳对外界机械碰撞的防护等级(IK代码)》标准，至少达到防护等级IK08。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固化千兆电口数≥8个；千兆光口数≥2个，万兆光口数≥2个。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要求无线控制器支持可拔插双电源冗余供电。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支持实时频谱防护,可视化射频干扰源对无线局域网的性能的影响。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为保护现网设备资产，确保所投设备与现网无线AP的兼容性和统一管理，本次采购的国产化无线控制器可兼容纳管和与现网商芯无线AP建立CAPWAP隧道。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产品关键芯片（CPU/MAC/网卡等）采用国产安全可控芯片。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无线控制器具备虚拟化功能，多台无线控制器可以被虚拟化成一台控制器，实现虚拟控制器对所有成员AC的统一管理、在成员AC间共享License、统一将AP接入虚拟AC中。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支持本地认证功能，无需通过外置Portal服务器和Radius服务器认证。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为便于投影设备的管理，提升工作效率，设备应支持同AC下airplay投影服务器三层发现功能并投影；支持同WLAN二层隔离下的airplay投影功能，在WLAN开启二层隔离的情况下，airplay依然可以发现投影服务并正常投影。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为方便网络管理，AC设备支持通过云端管理，与网管平台联动，有线无线网络统一集中管理，集群化管理。实现远程配置下发，远程监控无线网络状态、性能和无线网优。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本次配置AP管理授权数≥96个。</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0F22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C23D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330A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nil"/>
              <w:right w:val="single" w:color="000000" w:sz="4" w:space="0"/>
            </w:tcBorders>
            <w:noWrap w:val="0"/>
            <w:vAlign w:val="center"/>
          </w:tcPr>
          <w:p w14:paraId="7D7BE311">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nil"/>
              <w:right w:val="single" w:color="000000" w:sz="4" w:space="0"/>
            </w:tcBorders>
            <w:noWrap w:val="0"/>
            <w:vAlign w:val="center"/>
          </w:tcPr>
          <w:p w14:paraId="4A1D53F7">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C59BD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专用升级许可证可扩展128个License，每License包含1个普通AP或2个墙面型AP。</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039A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EF7A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r>
      <w:tr w14:paraId="1FD2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3657D9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4687" w:type="pct"/>
            <w:gridSpan w:val="4"/>
            <w:tcBorders>
              <w:top w:val="single" w:color="000000" w:sz="4" w:space="0"/>
              <w:left w:val="single" w:color="000000" w:sz="4" w:space="0"/>
              <w:bottom w:val="single" w:color="000000" w:sz="4" w:space="0"/>
              <w:right w:val="single" w:color="000000" w:sz="4" w:space="0"/>
            </w:tcBorders>
            <w:noWrap w:val="0"/>
            <w:vAlign w:val="center"/>
          </w:tcPr>
          <w:p w14:paraId="04E08CA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无线接入认证基础设施建设</w:t>
            </w:r>
          </w:p>
        </w:tc>
      </w:tr>
      <w:tr w14:paraId="7008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0DE2F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pct"/>
            <w:vMerge w:val="restart"/>
            <w:tcBorders>
              <w:top w:val="single" w:color="000000" w:sz="4" w:space="0"/>
              <w:left w:val="single" w:color="000000" w:sz="4" w:space="0"/>
              <w:bottom w:val="single" w:color="000000" w:sz="4" w:space="0"/>
              <w:right w:val="single" w:color="000000" w:sz="4" w:space="0"/>
            </w:tcBorders>
            <w:noWrap w:val="0"/>
            <w:vAlign w:val="center"/>
          </w:tcPr>
          <w:p w14:paraId="2D90B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INC网络节点授权增补</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96585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针对现有锐捷牌RG-UNC-NE-Switch-20型的SDN管理系统配置≥1套维保续保服务，本服务周期持续1年。</w:t>
            </w:r>
          </w:p>
        </w:tc>
        <w:tc>
          <w:tcPr>
            <w:tcW w:w="198" w:type="pct"/>
            <w:tcBorders>
              <w:top w:val="nil"/>
              <w:left w:val="single" w:color="000000" w:sz="4" w:space="0"/>
              <w:bottom w:val="nil"/>
              <w:right w:val="single" w:color="000000" w:sz="4" w:space="0"/>
            </w:tcBorders>
            <w:noWrap w:val="0"/>
            <w:vAlign w:val="center"/>
          </w:tcPr>
          <w:p w14:paraId="77358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nil"/>
              <w:left w:val="single" w:color="000000" w:sz="4" w:space="0"/>
              <w:bottom w:val="nil"/>
              <w:right w:val="single" w:color="000000" w:sz="4" w:space="0"/>
            </w:tcBorders>
            <w:noWrap w:val="0"/>
            <w:vAlign w:val="center"/>
          </w:tcPr>
          <w:p w14:paraId="2E36A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5203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55268">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6E4B38">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999BB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1、针对现有锐捷牌RG-UNC-NE-Switch-20型的SDN管理系统，本次配置授权可管理交换机数量≥60台；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2、本次配置的授权可与院区原有SDN控制器进行完美的兼容，支持对本次新上线的交换机进行统一管理，对新上线的终端进行准入管控；若不兼容，需要提供一整套设备，保证业务的连续性。</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20CF9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251B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r>
      <w:tr w14:paraId="4F15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6C3A0B">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340A4E">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B9C86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配置≥1套针对已经部署旧品SDN系统升级到最新版本，为确保老品功能配置和系统数据平滑迁移到新平台而提供的数据迁移服务。</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2788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1C57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3C7E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1A8C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pct"/>
            <w:vMerge w:val="restart"/>
            <w:tcBorders>
              <w:top w:val="single" w:color="000000" w:sz="4" w:space="0"/>
              <w:left w:val="single" w:color="000000" w:sz="4" w:space="0"/>
              <w:bottom w:val="single" w:color="000000" w:sz="4" w:space="0"/>
              <w:right w:val="single" w:color="000000" w:sz="4" w:space="0"/>
            </w:tcBorders>
            <w:noWrap w:val="0"/>
            <w:vAlign w:val="center"/>
          </w:tcPr>
          <w:p w14:paraId="1094B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外网身份认证系统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BBE3E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为降低认证系统后期维护难度，要求提供1U高度硬件化产品，无需进行软件安装操作。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≥6个GE电口，≥1个RJ-45配置口，USB口≥2个。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硬盘≥1T，DDR2内存≥2G，支持Linux操作平台，支持PostgreSQL数据库。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为满足多种应用场景，准入方式应支持有线的用户名密码认证（EAP-MD5）、无线的用户名密码认证（PEAP-MSCHAPV2）和USB-KEYCA证书认证（EAP-TLS）。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支持已认证的用户使用自己的智能手机为访客终端扫描二维码进行访客入网接入认证授权，支持只有授权指定的用户组才能为访客做二维码授权，且在认证系统后台有访客与授权访客开户的用户账号绑定。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支持使用用户名密码+手机号及短信获取的6位数随机校验码作为认证要素进行双因子认证。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为保证用户认证操作便利性，认证系统支持认证页面合并功能，用户名密码认证、微信连wifi认证、扫描二维码认证、二维码名片认证在同一个web中。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PEAP-Mschapv2认证支持多个不同AD域名认证。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开户、销户、分组管理用户；支持定制用户信息包含的字段，例如部门、年龄等；支持由已认证用户通过自助平台建立短时间临时用户账号，供访客使用；支持违反规定的用户放入黑名单，一段时间内禁止登陆；支持设置账号的使用期限，到期自动销户，并提前通知用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为满足账号输入便利性，支持昵称认证：采用昵称代替用户名认证。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支持用户上线后弹出广播消息、网页；支持设置禁止认证时段，在该时段内用户禁止认证，无法上网。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为保证账号安全，首次登陆账号激活，并强制修改密码。首次进行认证时，强制要求用户设置密保：手机号、邮箱账号、私密问答作为密保凭据任选其一。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手机号作为密保凭据时，需要向原手机号发送短信校验码才能变更手机号。邮箱账号作为密保凭据时，需要向原邮箱账号发送校验码才能变更邮箱账号。私密问答作为密保凭据时，需要提供正确的答案才能变更密保答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防密码暴力破解-随机校验码机制：认证页面输入N次错误密码后，将需要输入随机校验码，并记录登录者的IP及MAC，以防止用户通过自动化工具暴力破解密码。自助服务平台登录时默认需要验证码。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支持对在线用户进行管理，可下发实时和离线短消息、查看在线用户、下发实时和离线修复程序、强制在线用户下线以及重认证、实时进程信息获取以及远程协助的功能。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支持禁止已认证用户给未认证用户提供代理服务；禁止已认证用户启用拨号服务，进行非法外连；支持设置用户密码输错的次数上限，防暴力破解。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 为保证接入安全，支持接入用户MAC地址防篡改功能。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 禁止用户非法外连互联网，一旦访问则进行日志记录，并禁用所有网络连接；支持基于网络设备ACL、设备VLAN、主机ACL的网络权限控制。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 杀毒软件联动，支持主流杀毒软件若联动联动，部分杀毒软件的强联动，要求能实现自定义杀毒软件联动。强联动可检测安装、运行、更新情况，可推送离线升级包，可远程调用杀毒软件进行病毒扫描；弱联动，可检测安装、运行、更新情况，并可以推送离线升级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 支持根据业务规划，设置网络隔离安全域，并将安全域规划下发到交换机、客户端、防火墙、防火墙卡、路由器上执行。</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793E4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66FF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7287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E72DDD">
            <w:pPr>
              <w:jc w:val="center"/>
              <w:rPr>
                <w:rFonts w:hint="eastAsia" w:ascii="宋体" w:hAnsi="宋体" w:eastAsia="宋体" w:cs="宋体"/>
                <w:i w:val="0"/>
                <w:iCs w:val="0"/>
                <w:color w:val="000000"/>
                <w:sz w:val="21"/>
                <w:szCs w:val="21"/>
                <w:u w:val="none"/>
              </w:rPr>
            </w:pPr>
          </w:p>
        </w:tc>
        <w:tc>
          <w:tcPr>
            <w:tcW w:w="7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B54C6F">
            <w:pPr>
              <w:jc w:val="center"/>
              <w:rPr>
                <w:rFonts w:hint="eastAsia" w:ascii="宋体" w:hAnsi="宋体" w:eastAsia="宋体" w:cs="宋体"/>
                <w:i w:val="0"/>
                <w:iCs w:val="0"/>
                <w:color w:val="000000"/>
                <w:sz w:val="21"/>
                <w:szCs w:val="21"/>
                <w:u w:val="none"/>
              </w:rPr>
            </w:pP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AEF8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每个License增加500并发在线数的授权许可。</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DAA6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2C74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3D28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21E42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4687" w:type="pct"/>
            <w:gridSpan w:val="4"/>
            <w:tcBorders>
              <w:top w:val="single" w:color="000000" w:sz="4" w:space="0"/>
              <w:left w:val="single" w:color="000000" w:sz="4" w:space="0"/>
              <w:bottom w:val="single" w:color="000000" w:sz="4" w:space="0"/>
              <w:right w:val="single" w:color="000000" w:sz="4" w:space="0"/>
            </w:tcBorders>
            <w:noWrap w:val="0"/>
            <w:vAlign w:val="center"/>
          </w:tcPr>
          <w:p w14:paraId="592F8DD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综合布线系统基础设施建设</w:t>
            </w:r>
          </w:p>
        </w:tc>
      </w:tr>
      <w:tr w14:paraId="5A2E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ABF9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pct"/>
            <w:tcBorders>
              <w:top w:val="nil"/>
              <w:left w:val="single" w:color="000000" w:sz="4" w:space="0"/>
              <w:bottom w:val="single" w:color="000000" w:sz="4" w:space="0"/>
              <w:right w:val="single" w:color="000000" w:sz="4" w:space="0"/>
            </w:tcBorders>
            <w:noWrap w:val="0"/>
            <w:vAlign w:val="center"/>
          </w:tcPr>
          <w:p w14:paraId="29238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24芯层绞式室外万兆单模光缆</w:t>
            </w:r>
          </w:p>
        </w:tc>
        <w:tc>
          <w:tcPr>
            <w:tcW w:w="3284" w:type="pct"/>
            <w:tcBorders>
              <w:top w:val="nil"/>
              <w:left w:val="single" w:color="000000" w:sz="4" w:space="0"/>
              <w:bottom w:val="single" w:color="000000" w:sz="4" w:space="0"/>
              <w:right w:val="single" w:color="000000" w:sz="4" w:space="0"/>
            </w:tcBorders>
            <w:noWrap w:val="0"/>
            <w:vAlign w:val="center"/>
          </w:tcPr>
          <w:p w14:paraId="13C69D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标准：GB/T50312-2016(综合布线系统工程验收规范）。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松套管外径：标称值宜为(1.8~3.0)mm。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松套管壁厚：标称值宜为(0.30~0.50)mm。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纵包金属带重叠率：缆芯直径≥8时,≥5m，缆芯直径&lt;8mm时,≥缆芯周长的20%。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压扁：长期压力300N光纤附加衰减≤0.03。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反复弯曲：心轴半径:≤25倍缆径负载150N弯曲次数:30次光纤残余附加衰减≤0.03dB。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扭转：轴向张力:150N受扭长度:lm扭转角度:±180°扭转次数:10次光缆扭到极限位置下光纤附加衰减≤0.03dB。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衰减系数：波长:1310nm≤3.5dB，波长:1550nm≤3.5dB。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通过光链路测试，满足GB/T50312-2016标准规定要求。</w:t>
            </w:r>
          </w:p>
        </w:tc>
        <w:tc>
          <w:tcPr>
            <w:tcW w:w="198" w:type="pct"/>
            <w:tcBorders>
              <w:top w:val="nil"/>
              <w:left w:val="single" w:color="000000" w:sz="4" w:space="0"/>
              <w:bottom w:val="single" w:color="000000" w:sz="4" w:space="0"/>
              <w:right w:val="single" w:color="000000" w:sz="4" w:space="0"/>
            </w:tcBorders>
            <w:noWrap w:val="0"/>
            <w:vAlign w:val="center"/>
          </w:tcPr>
          <w:p w14:paraId="73C6A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nil"/>
              <w:left w:val="single" w:color="000000" w:sz="4" w:space="0"/>
              <w:bottom w:val="single" w:color="000000" w:sz="4" w:space="0"/>
              <w:right w:val="single" w:color="000000" w:sz="4" w:space="0"/>
            </w:tcBorders>
            <w:noWrap w:val="0"/>
            <w:vAlign w:val="center"/>
          </w:tcPr>
          <w:p w14:paraId="75500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326.72</w:t>
            </w:r>
          </w:p>
        </w:tc>
      </w:tr>
      <w:tr w14:paraId="7E9A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DF95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3356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12芯室外万兆单模光缆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CC62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标准：YD/T901-2009。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纵包金属带重叠率：缆芯直径≥8时，≥5mm,缆芯直径&lt;8mm时,≥缆芯周长的20%。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拉伸附加衰减：长期拉力600N光纤附加衰减≤0.03dB，短期拉力1500N光纤附加衰减≤0.1dB，拉力去除后光纤残余附加衰减≤0.03dB。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压扁：长期压力300N光纤附加衰减≤0.03db，短期压力1000N光纤附加衰减≤0.1db，压力去除后光纤残余附加衰减≤0.03db。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反复弯曲衰减：心轴半径:≤25倍缆径负载150Ndb，弯曲次数:30次光纤残余附加衰减≤0.03db。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衰减系数：波长:1550nm≤0.25dB/km。</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2538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8EF4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140</w:t>
            </w:r>
          </w:p>
        </w:tc>
      </w:tr>
      <w:tr w14:paraId="60AA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7129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2D746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2芯皮线光缆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2170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产品应用：光纤入户引入线、室内竖井级和强制通风级布线。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产品标准：YD/T1997-2014、IEC60794-2。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产品特性：①特种耐弯光缆，提供更大的带宽，增强网络传输特性；②两根平行FRP/(钢丝)使光缆具有良好的抗压性能，保护光纤；③光缆结构应简单，重量轻，实用性强；④独特的凹槽设计，应易剥离，方便接续，简化安装和维护；⑤低烟无卤阻燃护套，环保，护套外径3.0±0.1mm×2.0±0.1mm（2芯）；⑥允许拉伸力：长期≤100N，短期≤200N；允许压扁力：长期≤500N，短期≤1000N；⑦弯曲半径：动态≥30mm，静态≥15mm。</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74DB1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CA22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9056.94</w:t>
            </w:r>
          </w:p>
        </w:tc>
      </w:tr>
      <w:tr w14:paraId="30A0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130E7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782B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24芯模块机架式光纤配线架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D5FF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应采用优质冷轧钢板，表面静电喷塑，内部框架采用优质钢材，具有良好的抗腐蚀能力。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应采用一体化模块设计，熔接、存储、配线在同一模块内操作，科学化管理光缆接头。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应全程走纤路径设计，全程保护跳纤，并保证其弯曲半径≥40mm。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适合FC、SC、ST、LC、LC双工等适配器的安装，容量大，可存储冗余跳纤。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机架结构有全封闭式和开放式，19"标准尺寸，配置灵活，使安装、维护和扩容更加方便、快捷；配备高压防护接地装置，系统稳定、可靠。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ODF光纤配线架，兼容最大24芯LC端口。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免理线架，跳线在配线架左右侧边出线，内置理线槽，配线架正面带有铰链保护盖。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为了确保适配器、光纤跳线、光纤尾纤产品性能得到有效的控制，制造商或同属集团旗下关联企业拥有陶瓷插芯研发生产基地，在第三方专业光通信行业垂直门户网站可查询制造商陶瓷插芯研发生产的相关报道,并提供门户网站网址和报道截图及相关证明。</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7853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99F7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r>
      <w:tr w14:paraId="3EB9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A292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2E8D9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12芯模块机架式光纤配线架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39EB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应采用优质冷轧钢板，表面静电喷塑，内部框架采用优质钢材，具有良好的抗腐蚀能力。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应采用一体化模块设计，熔接、存储、配线在同一模块内操作，科学化管理光缆接头。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应全程走纤路径设计，全程保护跳纤，并保证其弯曲半径≥40mm。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适合FC、SC、ST、LC、LC双工等适配器的安装，容量大，可存储冗余跳纤。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机架结构有全封闭式和开放式，19"标准尺寸，配置灵活，使安装、维护和扩容更加方便、快捷；配备高压防护接地装置，系统稳定、可靠。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ODF光纤配线架，兼容最大24芯LC端口。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免理线架，跳线在配线架左右侧边出线，内置理线槽，配线架正面带有铰链保护盖。</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9753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67EC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r>
      <w:tr w14:paraId="7848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04A5C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48AC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LC耦合器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1D436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产品标准：GB/T50312-2016(综合布线系统工程验收规范）。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高精度机械尺寸。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陶瓷或金属导管材料。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可支持PC、UPC等多种插芯端面。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单模(SM)或多模(MM)光纤均可适用。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连接器端口：LC双工。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满足GB/T50312-2016标准规定要求。</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8218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1A7C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84</w:t>
            </w:r>
          </w:p>
        </w:tc>
      </w:tr>
      <w:tr w14:paraId="4643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EF23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1C95E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万兆单模尾纤</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44A09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产品应用：光纤通信系统。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产品标准：GB/T50312-2016(综合布线系统工程验收规范）。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产品特性：①依据工业标准出厂前100%光学测试，确保可靠性；②重复性好，耐久性≥1000次；③互换性好，插入损耗≤0.2dB；④低插入损耗，高回波损耗，性能优于业界标准的要求；⑤高品质材料耐磨损，陶瓷（氧化锆）插芯，插入损耗低，耐久性好⑥LC单模，1.5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满足GB/T50312-2016标准规定要求。</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5BDB1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3E10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484</w:t>
            </w:r>
          </w:p>
        </w:tc>
      </w:tr>
      <w:tr w14:paraId="2272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310EC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D90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万兆单模双工光纤跳线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F40E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高回波损耗、低插入损耗。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高可靠性和高稳定性。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重复性和互换性好。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PC/UPC、APC等多种插芯可选。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FC、SC、ST、LC等多种连接器端口可选。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LC双芯；光纤：9/125单模；跳线长度3M。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技术参数:插入损耗≤0.2dB；反射损耗PC≥50DB、APC≥60dB。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互换性≤0.2dB；重复性≤0.2dB；使用寿命(次)＞1000；抗拉强度＞10kg。</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5A6C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1445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r>
      <w:tr w14:paraId="4232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25CF8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2A38E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光纤熔接费</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B9D76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光纤熔接费。</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89ED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5973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484</w:t>
            </w:r>
          </w:p>
        </w:tc>
      </w:tr>
      <w:tr w14:paraId="08F5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9A7D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0CBDA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AP通讯用六类线缆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566CD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标准：ANSI/TIA-568.2-D-2018。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结构：带十字骨架双绞线，非屏蔽。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规格：23AWG，305米每箱，100欧姆，频率带宽250MHz。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插入损耗250MHz：≤35.9㏈。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回波损耗回波：A端250MHz：≥8㏈，B端250MHz：≥8㏈。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传输延时10MHz：≤555ns。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时延差（时延偏离）10MHz：≤50ns。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近端串音衰减：A端250MHz：≥33.1㏈，B端250MHz：≥33.1㏈。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近端串音衰减功率和：A端250MHz：≥30.2㏈，B端250MHz：≥30.2㏈。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芯线直径：≧0.57mm。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通过环保有毒有害测试：体现铅Pb:≤1000mg/kg、汞Hg:≤1000mg/kg、镉Cd:≤100mg/kg、复合材料的六价铬Cr(VI):≤1000mg/kg、多溴联苯（PBBs）:≤1000mg/kg、多溴二苯醚（PBDEs）:≤1000mg/kg六种有毒有害元素最大允许限值的测试结果需同时满足依据IEC62321-4:2013+A1:2017,IEC62321-5:2013,IEC62321-7-2:2017,IEC62321-6:2015的预警值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为了确保数据传输的可靠及稳定性，产品型号通过环境无锈抗腐蚀测试：满足GB/T2423.17-2008电子电工产品环境24小时盐雾试验要求，试验后电缆铜导体表面未见金属腐蚀产物，无锈蚀。</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6D930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1E36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22650.04</w:t>
            </w:r>
          </w:p>
        </w:tc>
      </w:tr>
      <w:tr w14:paraId="672E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2879E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43AE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吊顶开检修口</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F364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吊顶开检修口。</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78E51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D904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r>
      <w:tr w14:paraId="78A6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3D119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0C168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吊顶检修口套件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1E2C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吊顶检修口套件,含安装。</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7532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9742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r>
      <w:tr w14:paraId="15AC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29EC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6CC26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室外管道开挖及恢复</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DD8E3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室外管道开挖及恢复。</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7253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518B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326.72</w:t>
            </w:r>
          </w:p>
        </w:tc>
      </w:tr>
      <w:tr w14:paraId="69F8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D48C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167B8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21B5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规格：约200mm*100mm国标桥架。</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B9A6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5360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1501.41</w:t>
            </w:r>
          </w:p>
        </w:tc>
      </w:tr>
      <w:tr w14:paraId="7231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BED1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2321A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BC794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规格DN25。</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76B2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1CC0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20281.15</w:t>
            </w:r>
          </w:p>
        </w:tc>
      </w:tr>
      <w:tr w14:paraId="30B8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D4E4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2549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壁挂机柜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1E581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9U壁挂机柜。</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FA82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B1B7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r>
      <w:tr w14:paraId="331A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DA09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85CE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PDU</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BDA3A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机柜专用PDU。</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4293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7F54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r>
      <w:tr w14:paraId="141D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117EF6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4687" w:type="pct"/>
            <w:gridSpan w:val="4"/>
            <w:tcBorders>
              <w:top w:val="single" w:color="000000" w:sz="4" w:space="0"/>
              <w:left w:val="single" w:color="000000" w:sz="4" w:space="0"/>
              <w:bottom w:val="single" w:color="000000" w:sz="4" w:space="0"/>
              <w:right w:val="single" w:color="000000" w:sz="4" w:space="0"/>
            </w:tcBorders>
            <w:noWrap w:val="0"/>
            <w:vAlign w:val="center"/>
          </w:tcPr>
          <w:p w14:paraId="25CA423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门禁系统基础设施建设</w:t>
            </w:r>
          </w:p>
        </w:tc>
      </w:tr>
      <w:tr w14:paraId="13AA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FC53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pct"/>
            <w:tcBorders>
              <w:top w:val="nil"/>
              <w:left w:val="single" w:color="000000" w:sz="4" w:space="0"/>
              <w:bottom w:val="single" w:color="000000" w:sz="4" w:space="0"/>
              <w:right w:val="single" w:color="000000" w:sz="4" w:space="0"/>
            </w:tcBorders>
            <w:noWrap w:val="0"/>
            <w:vAlign w:val="center"/>
          </w:tcPr>
          <w:p w14:paraId="07C13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门禁系统</w:t>
            </w:r>
          </w:p>
        </w:tc>
        <w:tc>
          <w:tcPr>
            <w:tcW w:w="3284" w:type="pct"/>
            <w:tcBorders>
              <w:top w:val="nil"/>
              <w:left w:val="single" w:color="000000" w:sz="4" w:space="0"/>
              <w:bottom w:val="single" w:color="000000" w:sz="4" w:space="0"/>
              <w:right w:val="single" w:color="000000" w:sz="4" w:space="0"/>
            </w:tcBorders>
            <w:noWrap w:val="0"/>
            <w:vAlign w:val="center"/>
          </w:tcPr>
          <w:p w14:paraId="7E03AE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1.识别方式：指纹、MF卡/Mifare卡（13.56MHz）。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2.屏幕：≥2.4寸TFT-LCD彩屏，带背光按键。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3.CPU&amp;内存：≥32位高速CPU，主频≥400MHz，≥128MBFlash+32MBRAM2。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4.指纹容量：≥1,500枚。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5.记录容量≥50,000条。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6.通讯接口：TCP/IP、RS485、U盘。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7.门禁功能：支持Wiegandin/out、出门开关、门磁检测、报警输出、反潜回。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8.电源输入：DC12V（搭配电源适配器）。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9.安装方式：支持壁挂式或面板安装。</w:t>
            </w:r>
          </w:p>
        </w:tc>
        <w:tc>
          <w:tcPr>
            <w:tcW w:w="198" w:type="pct"/>
            <w:tcBorders>
              <w:top w:val="nil"/>
              <w:left w:val="single" w:color="000000" w:sz="4" w:space="0"/>
              <w:bottom w:val="single" w:color="000000" w:sz="4" w:space="0"/>
              <w:right w:val="single" w:color="000000" w:sz="4" w:space="0"/>
            </w:tcBorders>
            <w:noWrap w:val="0"/>
            <w:vAlign w:val="center"/>
          </w:tcPr>
          <w:p w14:paraId="699C6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nil"/>
              <w:left w:val="single" w:color="000000" w:sz="4" w:space="0"/>
              <w:bottom w:val="single" w:color="000000" w:sz="4" w:space="0"/>
              <w:right w:val="single" w:color="000000" w:sz="4" w:space="0"/>
            </w:tcBorders>
            <w:noWrap w:val="0"/>
            <w:vAlign w:val="center"/>
          </w:tcPr>
          <w:p w14:paraId="348ED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w:t>
            </w:r>
          </w:p>
        </w:tc>
      </w:tr>
      <w:tr w14:paraId="28DF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094CB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5CC43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磁力锁</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FBF20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≥280KG，带反馈磁力锁，可在系统后台查看门的锁闭状态。</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0CD44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6B0D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w:t>
            </w:r>
          </w:p>
        </w:tc>
      </w:tr>
      <w:tr w14:paraId="4775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E6F2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038B2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出门按钮</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651D4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出门按钮，自动复位。</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4230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1F2A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w:t>
            </w:r>
          </w:p>
        </w:tc>
      </w:tr>
      <w:tr w14:paraId="518F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334A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22830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电源箱</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FC2D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门禁系统专用电源箱，为门禁主机及磁力锁供电。</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72B0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F840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w:t>
            </w:r>
          </w:p>
        </w:tc>
      </w:tr>
      <w:tr w14:paraId="3340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0C086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20583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通讯线缆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F3BE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通讯线缆，CAT6。</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E7EA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C2F6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2113.2</w:t>
            </w:r>
          </w:p>
        </w:tc>
      </w:tr>
      <w:tr w14:paraId="076B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574BC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5C0F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出门按钮线缆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B338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出门按钮线缆，规格：RVV2*1.0。</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C886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DD98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188.67</w:t>
            </w:r>
          </w:p>
        </w:tc>
      </w:tr>
      <w:tr w14:paraId="4BB7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2333B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6379F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主机供电线缆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6008E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主机供电线缆，规格：RVV2*1.0。</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0D2F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B0A3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566.03</w:t>
            </w:r>
          </w:p>
        </w:tc>
      </w:tr>
      <w:tr w14:paraId="6A54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35A0D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1F7E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电源箱供电线缆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A0FE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电源箱供电线缆，规格：RVV3*1.5。</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327B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F71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566.03</w:t>
            </w:r>
          </w:p>
        </w:tc>
      </w:tr>
      <w:tr w14:paraId="140A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75A98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5601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磁力锁供电线缆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7305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磁力锁供电线缆，规格：RVV2*1.0。</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72D80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9EA9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566.03</w:t>
            </w:r>
          </w:p>
        </w:tc>
      </w:tr>
      <w:tr w14:paraId="2DF1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0E939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8C84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4BC3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交换容量≥6.72Tbps，转发性能≥171Mpps。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固化10/100/1000M以太网端口≥24，固化1G/10GSFP+XS接口≥4个。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要求所投设备MAC地址≥16K。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支持IPv4和IPv6的静态路由、RIP/RIPng、OSPFv2/OSPFv3等三层路由协议。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要求所投设备支持1对1、1对多、多对1和基于流的本地、远程镜像；且支持RSPAN和ERSPAN。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支持CPU保护功能，能够针对发往CPU处理的各种报文进行流区分和优先级队列分级处理，保护交换机在各种环境下稳定工作。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支持专门基础网络保护机制，能够限制用户向网络中发送数据包的速率，对有攻击行为的用户进行隔离，保证设备和整网的安全稳定运行。</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F754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0FA0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r>
      <w:tr w14:paraId="40EA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C20E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F1F4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千兆光模块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9D630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单模千兆光模块。</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4183A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1DC2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w:t>
            </w:r>
          </w:p>
        </w:tc>
      </w:tr>
      <w:tr w14:paraId="3E8D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67AE3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D98E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光纤跳线及皮缆</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B5E7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光纤跳线及皮缆。</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33BA6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6E2E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5B42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1749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0F8A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门禁服务器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977CF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采用≥4U机架式机箱。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CPU核心数≥6C12T，基础频率≥2.5GHz,最高睿频≥4.4GHz，二级缓存≥7.5MB。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内存≥8G。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本次配置≥2块硬盘，1块≥240G的固态硬盘，1块≥2T的机械硬盘。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本次配置1块额定功率≥450W的电源。</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5353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2C9F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2CFC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4792C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16B62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门禁管理软件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A0632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门禁时间段：时间段用于门的时间设置，可以指定读头仅在指定门的有效时间段可用，其他时间段不可用，也可以用于设置门的常开时间段；时间段可以用于设置门禁权限，指定用户只能在指定时间段访问指定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门禁节假日： 节假日的门禁时间可能与平时的门禁时间不同，为了简便操作，系统提供了节假日设置，专门针对节假日设置门禁时间。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门磁延时：门被打开后延迟检查门磁的时间。开门之后过一段时间才开始检测门磁，门在非“常开”时段，如果状态是打开的，开始计时，过了门磁延时时间则开始报警，门关闭时报警取消。门磁延时需大于锁驱动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锁驱动时长：用来控制刷卡后开锁的延时时间。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首卡常开：在指定时间段内，当有首卡常开权限的人员第一次验证通过后，门将常开，有效时间段结束后门将自动恢复关闭。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多卡开门：要求同一个开门组合中指定人数同时到场，依次验证通过后才能通过，在没通过验证前，不能插入其他人员）。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互锁设置：可设置一个控制器上的两个（多个）门之间的互锁管制，当其中一个门开启时，其他对应的门都关闭。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反潜设置：刷卡验证的人员，从某个门刷卡进来就必须从某个门刷卡出去，刷卡记录必须一进一出严格对应，否则无法开门。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门禁权限组：门禁权限组即在某个特定的时间段范围内，哪个门或哪些门的组合是可以通过验证打开的。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人员门禁权限设置：为门禁权限组分配可以验证通过的人员。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实时监控：实时监控系统内的门禁控制器所包含的门的状态以及实时事件，包括正常事件以及异常事件（含报警事件）等。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门禁报表：包括全部门禁事件、门禁异常事件、人员门禁权限报表。可以选择全部导出或查询后导出。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门禁参数设置：设置门禁参数功能，包括设置下载事件记录方式，是否开启实时监控，设备断开后重连间隔时间，邮件服务器信息。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联动设置：在门禁系统中某个输入点触发某个特定事件，用以控制系统中的验证、开门、报警、异常等事件，并在监控的事件列表中显示，比如消防联动，控制器辅助输入接收消防信号后，可设置为开门。</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17A1A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0BF0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r>
      <w:tr w14:paraId="5D8A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31D37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0D2C4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4106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规格：DN25。</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6BDBD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2901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1754.71</w:t>
            </w:r>
          </w:p>
        </w:tc>
      </w:tr>
      <w:tr w14:paraId="4B7B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23BA9B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4687" w:type="pct"/>
            <w:gridSpan w:val="4"/>
            <w:tcBorders>
              <w:top w:val="single" w:color="000000" w:sz="4" w:space="0"/>
              <w:left w:val="single" w:color="000000" w:sz="4" w:space="0"/>
              <w:bottom w:val="single" w:color="000000" w:sz="4" w:space="0"/>
              <w:right w:val="single" w:color="000000" w:sz="4" w:space="0"/>
            </w:tcBorders>
            <w:noWrap w:val="0"/>
            <w:vAlign w:val="center"/>
          </w:tcPr>
          <w:p w14:paraId="094B9B5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系统集成服务</w:t>
            </w:r>
          </w:p>
        </w:tc>
      </w:tr>
      <w:tr w14:paraId="5DD8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14:paraId="12146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4E16E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系统集成服务</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35E3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一、前期勘测、勘察与方案准备服务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（一）前期勘测规划与深化设计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1．现场勘测与点位优化：对761个无线AP、1009个天线安装点位进行实地复测，结合建筑结构、信号干扰源优化布局；输出《点位勘测报告》。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2．深化设计与方案输出：基于勘测结果深化网络拓扑、VLAN划分、PoE供电容量、无线信道规划，输出详细施工图纸（含AP安装详图、拓扑图、线缆路由图）及《深化设计方案》，完成用户审核确认。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3．材料清单核对与备货保障：核对AP、交换机、天线等主设备型号及数量一致性，确认网线、光纤、扎带等辅材规格匹配性；提供备货周期跟踪、到货验收服务，避免材料问题延误工期。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4．网络安全与认证前期规划：结合用户业务需求，前置规划网络安全架构及认证体系框架，为后续优化奠定基础。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（二）前期勘察与方案准备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1．机柜及设备现状勘察与记录：统计机柜内所有设备型号、厂商、安装位置、运行状态，记录在用链路端口对应关系，形成《机柜设备台账》。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2．业务中断风险评估与应急预案：识别核心业务，评估施工中断时长，制定临时应急预案，确认施工窗口期。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3．施工方案编制与审批：明确整理标准、步骤、人员分工、工期，结合样板间验收标准形成方案并完成审批。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4．样板间先行梳理：提前打造样板机柜，确定线路绑扎、标签粘贴、设备排布等统一标准，后续施工均参照执行。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二、设备与线路基础整理及现场施工安装服务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（一）设备与线路基础整理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1．已损坏设备拆除：拆除机柜内无法正常运行的报废设备，做好登记回收。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2．无用线路清理：移除无对应设备、无业务承载的废弃线路，避免占用机柜空间。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3．在用设备线路梳理：按照样板间标准，整理在用设备的连接线路，做到横平竖直、绑扎规范。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4．跳线配置与更换：按需配备各类型跳线，替换老化、破损的跳线，保障链路传输稳定性。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5．接插件及辅材准备：准备充足的理线架、卡扣、扎带、线槽等辅材，满足施工需求。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（二）现场施工与设备安装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1．主设备安装调试：完成761个无线AP、1009个天线、146台接入交换机、14台无源汇聚交换机及3台核心交换机等的安装、固定与配置。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2．配套辅材安装：负责AP支架、防水盒、线槽/线管铺设固定；机房内机柜安装、导轨固定、理线架部署；光纤熔接、光纤终端盒安装及跳线成端。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3．旧设备处理：如需更换旧网络设备，提供旧AP、交换机等设备的下架、线缆拆除、利旧调试适配服务，做好旧设备登记、包装与移交。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4．线缆连接与标识：完成全系统线缆的敷设、连接工作，对所有线缆、设备端口粘贴清晰统一的标识，标注链路走向、用途等信息。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5．强电配套与供电保障：配合完成机房PDU安装、供电线路引接与测试；检测AP点位PoE供电稳定性，解决供电不足等问题；检查并加固设备接地装置。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6．施工环境保障：施工前对现场成品（墙面、地面等）铺设防护膜、设置警示标识；施工后清理垃圾、恢复现场原貌，对线缆进行隐蔽化处理。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三、施工过程安全与规范管控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1．施工安全防护：配备绝缘手套、防静电手环、安全帽等防护用具；施工人员持证上岗；对运行设备覆盖防尘布，避免工具碰撞损坏。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2．带电作业管控：禁止带电插拔核心设备板卡/电源线；如需断电，严格执行断电报备与操作流程。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3．设备安装规范优化：检查并加固松动的设备支架、导轨；调整设备间距；统一设备安装方向与标签粘贴位置。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四、设备与链路功能检测及系统调试优化服务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（一）设备与链路功能检测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1．在用设备运行状态检测：通过设备指示灯、管理口等检查设备运行状态。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2．链路连通性与性能测试：使用网线测试仪、光功率计等工具，测试所有链路连通性，排查短路、断路、信号衰减问题。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3．故障部件记录报备：记录性能下降的设备、老化线路等问题，形成《设备故障台账》，提交信息科归档。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（二）系统调试与优化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1．新旧系统对接调试：完成新网络系统与用户原有系统的对接调试，确保数据互通、业务连续。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2．全系统联调：进行设备间联动调试，验证AP、交换机、防火墙等设备协同运行稳定性，保障网络整体连通性。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3．网络安全策略优化及跟踪：优化交换机路由、ACL策略等安全策略，定期跟踪策略运行效果，及时调整优化。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4．认证策略优化及跟踪：优化用户接入认证策略（如802.1X、Portal等），跟踪认证稳定性与便捷性，按需调整。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5．性能测试与优化：对核心设备进行吞吐量、并发连接数压力测试；对无线网络进行多终端并发、漫游切换测试，扫描信号盲区；输出《性能测试报告》并针对性优化。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6．灾备应急测试：测试核心设备（核心交换机、无线AC控制器）主备冗余切换功能，验证灾备机制有效性，输出《应急切换测试报告》。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7．网络安全咨询及规划：提供长期网络安全咨询服务，结合行业趋势与用户需求，优化网络安全规划。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五、验收归档与培训运维服务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（一）验收归档与运维交接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1．标准化验收：组织运维、施工、业务三方人员，从设备安装规范、线路绑扎质量、标签清晰度、链路连通性四个维度，参照样板间标准验收，签署《机柜整理验收报告》。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2．资料更新归档：更新《机柜设备台账》，留存整理前后对比照片、验收报告、测试记录等资料，统一归档至弱电间运维档案。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3．运维交接培训：向运维人员讲解整理后的机柜布局、标签规则、链路逻辑，确保后续运维工作高效开展。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（二）培训与验收服务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1．系统使用及优化培训：为用户运维人员、使用人员提供定制化培训，涵盖设备操作、系统配置、日常优化、基础故障排查等内容。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2．分阶段与总体验收：组织设备安装、单点功能、系统联调、试运行等多阶段验收；协调用户方、监理方（如有）签署验收单；处理试运行期间问题，确保通过总体验收。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3．完整资料交付：提供设备清单、竣工图纸、测试报告、验收报告、配置备份文件、操作手册、维护手册等全套资料（电子版+纸质版）。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（三）后期运维与增值保障服务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1．系统运行跟踪与无线调优：持续跟踪系统运行状态，定期对无线网络进行信号、信道优化，保障网络性能。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2．质保期内上门维修：质保期内提供上门故障维修服务，运维团队应具备专业的网络技术知识和医疗行业信息化经验，能够快速响应和处理各种运维问题。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3．质保期内远程技术支持：提供7×24小时远程故障诊断、配置调整、系统优化服务，缩短故障响应时间。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4．版本升级与漏洞修复：提供设备固件、系统软件免费升级服务；推送安全漏洞预警，提供漏洞修复技术支持。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5．质保期后维保方案定制：为用户定制质保期后延保服务方案，包含年度巡检、系统升级、故障维修等内容及报价。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六、弱电间环境优化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弱电间一体化改造：以“安全、整洁、可管、可扩”为原则，对全院89间弱电间进行空间优化、线路梳理、环境提升一体化改造，解决“线路乱、标识无、设备旧、进出杂”四大痛点，为无线网络及后续智慧医疗系统提供高可靠物理承载环境。改造工作实行样板间先行梳理，提前打造样板机柜，确定线路绑扎、标签粘贴、设备排布等统一标准，后续所有弱电间施工均严格参照该标准执行；同时同步开展设备与线路基础整理，具体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1．已损坏设备拆除：拆除机柜内无法正常运行的报废设备，做好登记回收；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2．无用线路清理：移除无对应设备、无业务承载的废弃线路，避免占用机柜及弱电间空间；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3．在用设备线路梳理：按照样板间标准，整理在用设备的连接线路，做到横平竖直、绑扎规范；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4．跳线配置与更换：按需配备各类型跳线，替换老化、破损跳线，保障链路传输稳定性；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5．接插件及辅材准备：备足理线架、卡扣、扎带、线槽等辅材，满足施工及改造需求。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在此基础上，同步推进弱电间环境精细化优化，具体措施如下：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1．机柜及环境清洁：清理机柜内部灰尘杂物，擦拭设备面板与机柜框架，清洁弱电间地面、墙面；检查并封堵机柜底部进线口，防止灰尘、鼠虫进入，保障设备运行环境整洁；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2．散热与供电保障：检查机柜散热风扇运行状态，确认弱电间环境温度达标；检测机柜PDU负载情况，更换老化电源线，杜绝过载风险；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3．冗余物资处置：将拆除的损坏设备、旧跳线、旧接插件集中回收，按可回收、报废分类处置，有效腾出弱电间空间，进一步完善弱电间一体化改造成效。</w:t>
            </w:r>
          </w:p>
        </w:tc>
        <w:tc>
          <w:tcPr>
            <w:tcW w:w="198" w:type="pct"/>
            <w:tcBorders>
              <w:top w:val="single" w:color="000000" w:sz="4" w:space="0"/>
              <w:left w:val="single" w:color="000000" w:sz="4" w:space="0"/>
              <w:bottom w:val="single" w:color="000000" w:sz="4" w:space="0"/>
              <w:right w:val="single" w:color="000000" w:sz="4" w:space="0"/>
            </w:tcBorders>
            <w:noWrap w:val="0"/>
            <w:vAlign w:val="center"/>
          </w:tcPr>
          <w:p w14:paraId="700EB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9454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bl>
    <w:p w14:paraId="6225928E">
      <w:pPr>
        <w:pStyle w:val="2"/>
        <w:spacing w:line="240" w:lineRule="auto"/>
        <w:outlineLvl w:val="2"/>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r>
        <w:rPr>
          <w:rFonts w:hint="eastAsia" w:ascii="宋体" w:hAnsi="宋体" w:eastAsia="宋体" w:cs="宋体"/>
          <w:i w:val="0"/>
          <w:iCs w:val="0"/>
          <w:color w:val="000000"/>
          <w:kern w:val="0"/>
          <w:sz w:val="24"/>
          <w:szCs w:val="24"/>
          <w:u w:val="none"/>
          <w:lang w:val="en-US" w:eastAsia="zh-Hans" w:bidi="ar"/>
        </w:rPr>
        <w:t>无线网络及配套设施改造</w:t>
      </w:r>
      <w:r>
        <w:rPr>
          <w:rFonts w:hint="eastAsia" w:ascii="宋体" w:hAnsi="宋体" w:eastAsia="宋体" w:cs="宋体"/>
          <w:i w:val="0"/>
          <w:iCs w:val="0"/>
          <w:color w:val="000000"/>
          <w:kern w:val="0"/>
          <w:sz w:val="24"/>
          <w:szCs w:val="24"/>
          <w:u w:val="none"/>
          <w:lang w:val="en-US" w:eastAsia="zh-CN" w:bidi="ar"/>
        </w:rPr>
        <w:t>项目系统运维要求</w:t>
      </w:r>
    </w:p>
    <w:p w14:paraId="442D5A4F">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eastAsia="宋体"/>
          <w:sz w:val="24"/>
          <w:szCs w:val="24"/>
        </w:rPr>
        <w:t>自合同签订之日起90天内完成涉及到设备采购、成品软件采购、线路敷设、设备实施部署等工作，并开展组织验收。</w:t>
      </w:r>
    </w:p>
    <w:p w14:paraId="5FB4FF0F">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firstLine="480" w:firstLineChars="200"/>
        <w:jc w:val="left"/>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eastAsia="宋体"/>
          <w:sz w:val="24"/>
          <w:szCs w:val="24"/>
        </w:rPr>
        <w:t>该项目包含院内院外现信息化系统对接费用，与本项目建设相关产生的系统改造、程序对接、项目实施等费用均包含在本项目总价中</w:t>
      </w:r>
      <w:r>
        <w:rPr>
          <w:rFonts w:hint="eastAsia" w:ascii="宋体" w:hAnsi="宋体" w:eastAsia="宋体"/>
          <w:sz w:val="24"/>
          <w:szCs w:val="24"/>
          <w:lang w:val="en-US" w:eastAsia="zh-CN"/>
        </w:rPr>
        <w:t>.</w:t>
      </w:r>
    </w:p>
    <w:p w14:paraId="59D66DD2">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eastAsia="宋体"/>
          <w:sz w:val="24"/>
          <w:szCs w:val="24"/>
        </w:rPr>
        <w:t>无偿配合对接医院三级等保建设要求。</w:t>
      </w:r>
    </w:p>
    <w:p w14:paraId="5CBD8B12">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eastAsia="宋体"/>
          <w:sz w:val="24"/>
          <w:szCs w:val="24"/>
        </w:rPr>
        <w:t>系统相关软硬件及数据库确保能满足上级相关信创要求，提供规范的运行环境。</w:t>
      </w:r>
    </w:p>
    <w:p w14:paraId="2BA8966C">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eastAsia="宋体"/>
          <w:sz w:val="24"/>
          <w:szCs w:val="24"/>
        </w:rPr>
        <w:t>在未经医院授权许可的情况下，不得用医院的名义/关键字眼或任何相关地址、域名、信息等在任何网络区域、现实物理区域进行发布或展示、测试、介绍有关于本项目关联的所有系统、功能或数据信息等，须遵守所有接触到的关于医院的有形、无形资料和国家与医疗行业发布的相关保密规定内容，并提供相关承诺函加盖公章。如因乙方未遵守此条款导致医院受到直接或间接经济损失、不良社会舆论等结果，乙方须承担所有不良结果引起的所有经济责任和对应国家规定的法律法规责任。</w:t>
      </w:r>
    </w:p>
    <w:p w14:paraId="4B3ED913">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eastAsia="宋体"/>
          <w:sz w:val="24"/>
          <w:szCs w:val="24"/>
        </w:rPr>
        <w:t>所提供的软件产品不允许包含以下任何部分:病毒，时间炸弹，特洛伊木马，蠕虫病毒或者其它非法对系统进行访问（包括删除，关闭等）的功能。严格执行医院相关安全条例，提供相关数据。</w:t>
      </w:r>
    </w:p>
    <w:p w14:paraId="659D0402">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firstLine="480" w:firstLineChars="200"/>
        <w:textAlignment w:val="auto"/>
        <w:rPr>
          <w:rFonts w:hint="eastAsia"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7</w:t>
      </w:r>
      <w:r>
        <w:rPr>
          <w:rFonts w:hint="eastAsia" w:ascii="宋体" w:hAnsi="宋体" w:cs="Times New Roman"/>
          <w:sz w:val="24"/>
          <w:szCs w:val="24"/>
          <w:lang w:eastAsia="zh-CN"/>
        </w:rPr>
        <w:t>）</w:t>
      </w:r>
      <w:r>
        <w:rPr>
          <w:rFonts w:hint="eastAsia" w:ascii="宋体" w:hAnsi="宋体" w:eastAsia="宋体" w:cs="Times New Roman"/>
          <w:sz w:val="24"/>
          <w:szCs w:val="24"/>
        </w:rPr>
        <w:t>验收应按照招标文件、乙方投标文件的规定或约定进行，具体如下:</w:t>
      </w:r>
      <w:bookmarkStart w:id="7" w:name="OLE_LINK3"/>
      <w:r>
        <w:rPr>
          <w:rFonts w:hint="eastAsia" w:ascii="宋体" w:hAnsi="宋体" w:eastAsia="宋体" w:cs="Times New Roman"/>
          <w:sz w:val="24"/>
          <w:szCs w:val="24"/>
        </w:rPr>
        <w:t>(1)完成全部建设内容，系统稳定运行，无未整改问题</w:t>
      </w:r>
      <w:r>
        <w:rPr>
          <w:rFonts w:hint="eastAsia" w:ascii="宋体" w:hAnsi="宋体" w:eastAsia="宋体" w:cs="Times New Roman"/>
          <w:sz w:val="24"/>
          <w:szCs w:val="24"/>
          <w:lang w:eastAsia="zh-CN"/>
        </w:rPr>
        <w:t>；完成自检、人员培训，满足合同其他前置条件，</w:t>
      </w:r>
      <w:r>
        <w:rPr>
          <w:rFonts w:hint="eastAsia" w:ascii="宋体" w:hAnsi="宋体" w:eastAsia="宋体" w:cs="Times New Roman"/>
          <w:sz w:val="24"/>
          <w:szCs w:val="24"/>
        </w:rPr>
        <w:t>达到</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要求，则双方在试运行期结束10个工作日内。由验收小组按采购文件、合同和国家有关规定规范组织项目最终验收，出具最终验收报告。(2)在项目验收前，</w:t>
      </w:r>
      <w:r>
        <w:rPr>
          <w:rFonts w:hint="eastAsia" w:ascii="宋体" w:hAnsi="宋体" w:eastAsia="宋体" w:cs="Times New Roman"/>
          <w:sz w:val="24"/>
          <w:szCs w:val="24"/>
          <w:lang w:eastAsia="zh-CN"/>
        </w:rPr>
        <w:t>中标人</w:t>
      </w:r>
      <w:r>
        <w:rPr>
          <w:rFonts w:hint="eastAsia" w:ascii="宋体" w:hAnsi="宋体" w:eastAsia="宋体" w:cs="Times New Roman"/>
          <w:sz w:val="24"/>
          <w:szCs w:val="24"/>
        </w:rPr>
        <w:t>应做好验收文件，提交加盖公章的完整技术文档规范装订；包括竣工报告、设备证明、拓扑图</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系统操作、维护及故障排查手册</w:t>
      </w:r>
      <w:r>
        <w:rPr>
          <w:rFonts w:hint="eastAsia" w:ascii="宋体" w:hAnsi="宋体" w:eastAsia="宋体" w:cs="Times New Roman"/>
          <w:sz w:val="24"/>
          <w:szCs w:val="24"/>
        </w:rPr>
        <w:t>等相关技术文件，并通过</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的审核。(3)若项目验收不通过，</w:t>
      </w:r>
      <w:r>
        <w:rPr>
          <w:rFonts w:hint="eastAsia" w:ascii="宋体" w:hAnsi="宋体" w:eastAsia="宋体" w:cs="Times New Roman"/>
          <w:sz w:val="24"/>
          <w:szCs w:val="24"/>
          <w:lang w:eastAsia="zh-CN"/>
        </w:rPr>
        <w:t>中标人</w:t>
      </w:r>
      <w:r>
        <w:rPr>
          <w:rFonts w:hint="eastAsia" w:ascii="宋体" w:hAnsi="宋体" w:eastAsia="宋体" w:cs="Times New Roman"/>
          <w:sz w:val="24"/>
          <w:szCs w:val="24"/>
        </w:rPr>
        <w:t>在规定时间整改后，再行验收。若再行验收仍不通过，</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有权解除本合同，</w:t>
      </w:r>
      <w:r>
        <w:rPr>
          <w:rFonts w:hint="eastAsia" w:ascii="宋体" w:hAnsi="宋体" w:eastAsia="宋体" w:cs="Times New Roman"/>
          <w:sz w:val="24"/>
          <w:szCs w:val="24"/>
          <w:lang w:eastAsia="zh-CN"/>
        </w:rPr>
        <w:t>中标人</w:t>
      </w:r>
      <w:r>
        <w:rPr>
          <w:rFonts w:hint="eastAsia" w:ascii="宋体" w:hAnsi="宋体" w:eastAsia="宋体" w:cs="Times New Roman"/>
          <w:sz w:val="24"/>
          <w:szCs w:val="24"/>
        </w:rPr>
        <w:t>应返还全部已支付费用，并按合同总价的20%支付违约金。(4)整体验收合格以通过</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组织的终验并签署最终验收报告为准。验收合格报告出具日为系统验收合格日，并作为计算免费维护期起止日的依据。(5)验收过程所发生的一切费用由</w:t>
      </w:r>
      <w:r>
        <w:rPr>
          <w:rFonts w:hint="eastAsia" w:ascii="宋体" w:hAnsi="宋体" w:eastAsia="宋体" w:cs="Times New Roman"/>
          <w:sz w:val="24"/>
          <w:szCs w:val="24"/>
          <w:lang w:eastAsia="zh-CN"/>
        </w:rPr>
        <w:t>中标人</w:t>
      </w:r>
      <w:r>
        <w:rPr>
          <w:rFonts w:hint="eastAsia" w:ascii="宋体" w:hAnsi="宋体" w:eastAsia="宋体" w:cs="Times New Roman"/>
          <w:sz w:val="24"/>
          <w:szCs w:val="24"/>
        </w:rPr>
        <w:t>承担</w:t>
      </w:r>
      <w:bookmarkEnd w:id="7"/>
      <w:r>
        <w:rPr>
          <w:rFonts w:hint="eastAsia" w:ascii="宋体" w:hAnsi="宋体" w:eastAsia="宋体" w:cs="Times New Roman"/>
          <w:sz w:val="24"/>
          <w:szCs w:val="24"/>
        </w:rPr>
        <w:t>。</w:t>
      </w:r>
    </w:p>
    <w:p w14:paraId="387F6A99">
      <w:pPr>
        <w:pStyle w:val="2"/>
        <w:keepNext w:val="0"/>
        <w:keepLines w:val="0"/>
        <w:pageBreakBefore w:val="0"/>
        <w:widowControl w:val="0"/>
        <w:kinsoku/>
        <w:wordWrap/>
        <w:overflowPunct/>
        <w:topLinePunct w:val="0"/>
        <w:autoSpaceDE/>
        <w:autoSpaceDN/>
        <w:bidi w:val="0"/>
        <w:snapToGrid/>
        <w:spacing w:line="24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8</w:t>
      </w:r>
      <w:r>
        <w:rPr>
          <w:rFonts w:hint="eastAsia" w:ascii="宋体" w:hAnsi="宋体" w:eastAsia="宋体"/>
          <w:sz w:val="24"/>
          <w:szCs w:val="24"/>
          <w:lang w:eastAsia="zh-CN"/>
        </w:rPr>
        <w:t>）</w:t>
      </w:r>
      <w:r>
        <w:rPr>
          <w:rFonts w:hint="eastAsia" w:ascii="宋体" w:hAnsi="宋体" w:eastAsia="宋体"/>
          <w:sz w:val="24"/>
          <w:szCs w:val="24"/>
        </w:rPr>
        <w:t>质保期，自验收之日起</w:t>
      </w:r>
      <w:r>
        <w:rPr>
          <w:rFonts w:hint="eastAsia" w:ascii="宋体" w:hAnsi="宋体" w:eastAsia="宋体"/>
          <w:sz w:val="24"/>
          <w:szCs w:val="24"/>
          <w:lang w:val="en-US" w:eastAsia="zh-CN"/>
        </w:rPr>
        <w:t>5</w:t>
      </w:r>
      <w:r>
        <w:rPr>
          <w:rFonts w:hint="eastAsia" w:ascii="宋体" w:hAnsi="宋体" w:eastAsia="宋体"/>
          <w:sz w:val="24"/>
          <w:szCs w:val="24"/>
        </w:rPr>
        <w:t>年。在质保期内，7*24*365天小时技术支持服务，随时解决现场可以解决的问题，现场不能解决的问题的响应时间为：根据服务需求的紧急程度，紧急服务需求响应时间为半小时，并能及时解决问题；非紧急服务需求响应时间为1小时以内。日常维护响应时间不得超过4小时。对于电话咨询无法解决的问题，经采购人信息中心授权通过远程登录进行故障诊断和排除。远程登录也未能排除故障的，乙方应提供可替代方案确保业务正常运转，并在24小时内安排人员到甲方现场服务，保证系统在最快的时间内恢复。质保期内运维服务所发生的一切费用由乙方承担。</w:t>
      </w:r>
    </w:p>
    <w:p w14:paraId="396157AD">
      <w:pPr>
        <w:pStyle w:val="2"/>
        <w:rPr>
          <w:rFonts w:hint="eastAsia" w:ascii="宋体" w:hAnsi="宋体" w:eastAsia="宋体"/>
          <w:sz w:val="24"/>
          <w:szCs w:val="24"/>
        </w:rPr>
      </w:pPr>
    </w:p>
    <w:p w14:paraId="193BAF21">
      <w:pPr>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br w:type="page"/>
      </w:r>
    </w:p>
    <w:p w14:paraId="11EE69F0">
      <w:pPr>
        <w:pStyle w:val="2"/>
        <w:outlineLvl w:val="1"/>
        <w:rPr>
          <w:rFonts w:hint="eastAsia" w:ascii="宋体" w:hAnsi="宋体" w:eastAsia="宋体" w:cs="宋体"/>
          <w:b/>
          <w:bCs/>
          <w:sz w:val="24"/>
          <w:szCs w:val="24"/>
          <w:shd w:val="clear" w:color="auto" w:fill="FFFFFF"/>
          <w:lang w:val="en-US" w:eastAsia="zh-Hans"/>
        </w:rPr>
      </w:pPr>
      <w:r>
        <w:rPr>
          <w:rFonts w:hint="eastAsia" w:ascii="宋体" w:hAnsi="宋体" w:eastAsia="宋体" w:cs="宋体"/>
          <w:b/>
          <w:bCs/>
          <w:sz w:val="24"/>
          <w:szCs w:val="24"/>
          <w:shd w:val="clear" w:color="auto" w:fill="FFFFFF"/>
          <w:lang w:val="en-US" w:eastAsia="zh-CN"/>
        </w:rPr>
        <w:t>2.2合同包2：</w:t>
      </w:r>
      <w:r>
        <w:rPr>
          <w:rFonts w:hint="eastAsia" w:ascii="宋体" w:hAnsi="宋体" w:eastAsia="宋体" w:cs="宋体"/>
          <w:b/>
          <w:bCs/>
          <w:sz w:val="24"/>
          <w:szCs w:val="24"/>
          <w:shd w:val="clear" w:color="auto" w:fill="FFFFFF"/>
          <w:lang w:val="en-US" w:eastAsia="zh-Hans"/>
        </w:rPr>
        <w:t>病区无纸化患者签名平台</w:t>
      </w:r>
    </w:p>
    <w:p w14:paraId="6E54EA08">
      <w:pPr>
        <w:pStyle w:val="2"/>
        <w:outlineLvl w:val="2"/>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2.2.1病区无纸化患者签名平台建设目标</w:t>
      </w:r>
    </w:p>
    <w:p w14:paraId="50B41660">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（一）提高效率</w:t>
      </w:r>
    </w:p>
    <w:p w14:paraId="38561A5C">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病区无纸化患者签名平台</w:t>
      </w:r>
      <w:r>
        <w:rPr>
          <w:rFonts w:hint="eastAsia" w:ascii="宋体" w:hAnsi="宋体" w:eastAsia="宋体" w:cs="宋体"/>
          <w:sz w:val="24"/>
          <w:szCs w:val="24"/>
          <w:highlight w:val="none"/>
          <w:lang w:eastAsia="zh-Hans"/>
        </w:rPr>
        <w:t>解决方案旨在简化医疗业务流程，通过数字化手段实现医疗文书的快速签署。患者无需再等待纸质文件的打印、传递和手动签字，在诊疗过程中，可直接在电子设备上完成签名操作，大大缩短了就医时间。</w:t>
      </w:r>
    </w:p>
    <w:p w14:paraId="2DAD882E">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对于医护人员而言，</w:t>
      </w:r>
      <w:r>
        <w:rPr>
          <w:rFonts w:hint="eastAsia" w:ascii="宋体" w:hAnsi="宋体" w:eastAsia="宋体" w:cs="宋体"/>
          <w:sz w:val="24"/>
          <w:szCs w:val="24"/>
          <w:highlight w:val="none"/>
          <w:lang w:val="en-US" w:eastAsia="zh-CN"/>
        </w:rPr>
        <w:t>病区无纸化患者签名平台</w:t>
      </w:r>
      <w:r>
        <w:rPr>
          <w:rFonts w:hint="eastAsia" w:ascii="宋体" w:hAnsi="宋体" w:eastAsia="宋体" w:cs="宋体"/>
          <w:sz w:val="24"/>
          <w:szCs w:val="24"/>
          <w:highlight w:val="none"/>
          <w:lang w:eastAsia="zh-Hans"/>
        </w:rPr>
        <w:t>避免了繁琐的纸质病历书写和整理工作，他们可以将更多时间和精力投入到患者的诊断和治疗中。电子病历系统与电子签名的集成，使医护人员在记录患者病情、开具处方和检查报告时，能够</w:t>
      </w:r>
      <w:r>
        <w:rPr>
          <w:rFonts w:hint="eastAsia" w:ascii="宋体" w:hAnsi="宋体" w:eastAsia="宋体" w:cs="宋体"/>
          <w:sz w:val="24"/>
          <w:szCs w:val="24"/>
          <w:highlight w:val="none"/>
          <w:lang w:val="en-US" w:eastAsia="zh-CN"/>
        </w:rPr>
        <w:t>及时</w:t>
      </w:r>
      <w:r>
        <w:rPr>
          <w:rFonts w:hint="eastAsia" w:ascii="宋体" w:hAnsi="宋体" w:eastAsia="宋体" w:cs="宋体"/>
          <w:sz w:val="24"/>
          <w:szCs w:val="24"/>
          <w:highlight w:val="none"/>
          <w:lang w:eastAsia="zh-Hans"/>
        </w:rPr>
        <w:t>完成签名确认，无需在不同时间和地点手动签字，显著提高了工作效率。</w:t>
      </w:r>
    </w:p>
    <w:p w14:paraId="5729E432">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（二）保障安全</w:t>
      </w:r>
    </w:p>
    <w:p w14:paraId="25BEFAAD">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病区无纸化患者签名</w:t>
      </w:r>
      <w:r>
        <w:rPr>
          <w:rFonts w:hint="eastAsia" w:ascii="宋体" w:hAnsi="宋体" w:eastAsia="宋体" w:cs="宋体"/>
          <w:sz w:val="24"/>
          <w:szCs w:val="24"/>
          <w:highlight w:val="none"/>
          <w:lang w:eastAsia="zh-Hans"/>
        </w:rPr>
        <w:t>技术采用先进的加密算法和数字证书机制，确保医疗数据的真实性、完整性和不可篡改。利用哈希算法对医疗文书内容进行加密处理，生成唯一的数字摘要，一旦文书内容被篡改，数字摘要就会发生变化，从而能够及时发现并阻止篡改行为，保证了医疗数据的完整性。</w:t>
      </w:r>
    </w:p>
    <w:p w14:paraId="0D2B4DDD">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时间戳技术的应用为医疗文书的签署时间提供了可信证明，确保了签名时间的准确性和不可抵赖性。在医疗纠纷或法律诉讼中，电子签名系统能够提供完整的签名记录和审计日志，为责任认定和证据提供提供了有力支持，有效保障了医患双方的合法权益。</w:t>
      </w:r>
    </w:p>
    <w:p w14:paraId="7BA2AAF5">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（三）符合法规</w:t>
      </w:r>
    </w:p>
    <w:p w14:paraId="7CE8D46A">
      <w:pPr>
        <w:pStyle w:val="2"/>
        <w:spacing w:line="240" w:lineRule="auto"/>
        <w:ind w:firstLine="480" w:firstLineChars="20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本方案严格遵循国家相关法律法规，如《中华人民共和国电子签名法》《电子病历应用管理规范（试行）》等，确保电子签名在医疗领域的合法应用。通过采用符合国家标准的电子签名技术和数字证书服务，保证电子签名与手写签名或盖章具有同等的法律效力，使电子病历、知情同意书等医疗文书具备合法的证据效力。</w:t>
      </w:r>
    </w:p>
    <w:p w14:paraId="381D4C92">
      <w:pPr>
        <w:pStyle w:val="2"/>
        <w:spacing w:line="240" w:lineRule="auto"/>
        <w:outlineLvl w:val="2"/>
        <w:rPr>
          <w:rFonts w:hint="eastAsia" w:ascii="宋体" w:hAnsi="宋体" w:eastAsia="宋体" w:cs="宋体"/>
          <w:b w:val="0"/>
          <w:sz w:val="24"/>
          <w:szCs w:val="24"/>
          <w:shd w:val="clear" w:color="auto" w:fill="FFFFFF"/>
          <w:lang w:val="en-US" w:eastAsia="zh-CN"/>
        </w:rPr>
      </w:pPr>
      <w:r>
        <w:rPr>
          <w:rFonts w:hint="eastAsia" w:ascii="宋体" w:hAnsi="宋体" w:eastAsia="宋体" w:cs="宋体"/>
          <w:sz w:val="24"/>
          <w:szCs w:val="24"/>
          <w:highlight w:val="none"/>
          <w:lang w:val="en-US" w:eastAsia="zh-CN"/>
        </w:rPr>
        <w:t>2.2.2</w:t>
      </w:r>
      <w:r>
        <w:rPr>
          <w:rFonts w:hint="eastAsia" w:ascii="宋体" w:hAnsi="宋体" w:eastAsia="宋体" w:cs="宋体"/>
          <w:b w:val="0"/>
          <w:bCs w:val="0"/>
          <w:sz w:val="24"/>
          <w:szCs w:val="24"/>
          <w:shd w:val="clear" w:color="auto" w:fill="FFFFFF"/>
          <w:lang w:val="en-US" w:eastAsia="zh-CN"/>
        </w:rPr>
        <w:t>病区无纸化患者签名平台</w:t>
      </w:r>
      <w:r>
        <w:rPr>
          <w:rFonts w:hint="eastAsia" w:ascii="宋体" w:hAnsi="宋体" w:eastAsia="宋体" w:cs="宋体"/>
          <w:b w:val="0"/>
          <w:sz w:val="24"/>
          <w:szCs w:val="24"/>
          <w:shd w:val="clear" w:color="auto" w:fill="FFFFFF"/>
          <w:lang w:val="en-US" w:eastAsia="zh-CN"/>
        </w:rPr>
        <w:t>项目参数</w:t>
      </w:r>
    </w:p>
    <w:tbl>
      <w:tblPr>
        <w:tblStyle w:val="9"/>
        <w:tblW w:w="4998" w:type="pct"/>
        <w:jc w:val="center"/>
        <w:tblLayout w:type="autofit"/>
        <w:tblCellMar>
          <w:top w:w="0" w:type="dxa"/>
          <w:left w:w="108" w:type="dxa"/>
          <w:bottom w:w="0" w:type="dxa"/>
          <w:right w:w="108" w:type="dxa"/>
        </w:tblCellMar>
      </w:tblPr>
      <w:tblGrid>
        <w:gridCol w:w="856"/>
        <w:gridCol w:w="1191"/>
        <w:gridCol w:w="4833"/>
        <w:gridCol w:w="818"/>
        <w:gridCol w:w="821"/>
      </w:tblGrid>
      <w:tr w14:paraId="652E338C">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4B109340">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00C085B">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28F2309C">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设备参数</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05D7EC50">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F3F8BA3">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数量</w:t>
            </w:r>
          </w:p>
        </w:tc>
      </w:tr>
      <w:tr w14:paraId="4BE03141">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3085007D">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1</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1AF05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i w:val="0"/>
                <w:iCs w:val="0"/>
                <w:color w:val="000000"/>
                <w:kern w:val="0"/>
                <w:sz w:val="21"/>
                <w:szCs w:val="21"/>
                <w:u w:val="none"/>
                <w:lang w:val="en-US" w:eastAsia="zh-CN" w:bidi="ar"/>
              </w:rPr>
              <w:t>患者手写信息数字签名系统(含服务器)</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419C40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1、机架式设备，配置冗余电源；所采用CPU及操作系统符合安全可靠测评要求；CPU核心≥8核，CPU频率≥2.8GHz，内存≥16G DDR4，硬盘≥2*4T，≥2个千兆电口。</w:t>
            </w:r>
          </w:p>
          <w:p w14:paraId="3ADCAE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2、支持根据签名业务及签名人鉴证信息，向第三方CA机构证书服务平台申请颁发数字证书。</w:t>
            </w:r>
          </w:p>
          <w:p w14:paraId="1C27EA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3、支持签名人签名过程中的影像采集（如拍摄签名人照片），用以标识签名人身份特征，在出现纠纷和责任认定时可用于确认签名人身份。</w:t>
            </w:r>
          </w:p>
          <w:p w14:paraId="56416D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4、通过手写输入设备，获取签名人手写签字笔迹，作为数字签名可视化展现效果图示。</w:t>
            </w:r>
          </w:p>
          <w:p w14:paraId="2839A9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5、提供C、Java等主流开发API；业务处理能力（SM2算法）≥10000笔/小时；最大可支持3000个终端；适用环境：千兆环境，并发用户多；</w:t>
            </w:r>
          </w:p>
          <w:p w14:paraId="600534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6、IP白名单配置：可以基于IP白名单的方式控制业务系统对签名/签章服务的调用，可按系统级和业务级两种方式进行IP白名单控制。</w:t>
            </w:r>
          </w:p>
          <w:p w14:paraId="438652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7、产品具备国家密码管理局颁发的信创《商用密码产品认证证书》，符合GM/T 0028《密码模块安全技术要求》第二级要求。</w:t>
            </w:r>
          </w:p>
          <w:p w14:paraId="794DB5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8、产品符合《计算机信息系统安全产品部件第1部分:安全功能检测GA216.1-1999》中完整性鉴别类、《信息安全技术通用渗透测试检测条件JCTJ005-2016》(6.2.1)中相关条款所述的有关要求。</w:t>
            </w:r>
          </w:p>
          <w:p w14:paraId="27DD50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9、支持SM2\SM3\SM4密码算法，使用SM2数字签名密码算法，对电子文书进行密码运算，保护电子文书的有效性、合法性。</w:t>
            </w:r>
          </w:p>
          <w:p w14:paraId="4ADA35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10、支持使用单位证书签名，对患者签名时采集的指纹图像进行证据固化。</w:t>
            </w:r>
          </w:p>
          <w:p w14:paraId="7D3227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11、提供一键检测功能，可对服务接口、密码卡、密码算法、移动签署licence、网络接口等进行一键检测，快速发现系统运行异常，</w:t>
            </w:r>
          </w:p>
          <w:p w14:paraId="57CE35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12、为保证稳定性，本产品内置密码卡须与本产品为同一品牌，且内置密码卡须具有《商用密码产品认证证书》，要求符合《PCI密码卡技术规范》、GM/T 0018《密码设备应用接口规范》、GM/T 0028《密码模块安全技术要求》第二级要求。。</w:t>
            </w:r>
          </w:p>
          <w:p w14:paraId="35F8FE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13、产品通过漏洞覆盖测试，未发现该产品中存在漏洞库中已知中、高风险漏洞。</w:t>
            </w:r>
          </w:p>
          <w:p w14:paraId="49CF83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sz w:val="21"/>
                <w:szCs w:val="21"/>
              </w:rPr>
            </w:pPr>
            <w:r>
              <w:rPr>
                <w:rFonts w:hint="eastAsia"/>
                <w:sz w:val="21"/>
                <w:szCs w:val="21"/>
              </w:rPr>
              <w:t>14、为更好的实现产品的兼容性，患者手写信息数字签名系统(含服务器)、有线手写签名板、数字证书、时间戳服务器须为同一品牌产品厂家。</w:t>
            </w:r>
          </w:p>
          <w:p w14:paraId="4388D1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sz w:val="21"/>
                <w:szCs w:val="21"/>
              </w:rPr>
              <w:t>15、所投的患者手写信息数字签名系统须与院内已建设的电子签名系统兼容互认，实现无缝对接。</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408DFF56">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套</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17130CD">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1</w:t>
            </w:r>
          </w:p>
        </w:tc>
      </w:tr>
      <w:tr w14:paraId="190F137E">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430739D1">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2</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7FC3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Cs w:val="0"/>
                <w:sz w:val="21"/>
                <w:szCs w:val="21"/>
              </w:rPr>
            </w:pPr>
            <w:r>
              <w:rPr>
                <w:rFonts w:hint="eastAsia" w:ascii="宋体" w:hAnsi="宋体" w:eastAsia="宋体" w:cs="宋体"/>
                <w:i w:val="0"/>
                <w:iCs w:val="0"/>
                <w:color w:val="000000"/>
                <w:kern w:val="0"/>
                <w:sz w:val="21"/>
                <w:szCs w:val="21"/>
                <w:u w:val="none"/>
                <w:lang w:val="en-US" w:eastAsia="zh-CN" w:bidi="ar"/>
              </w:rPr>
              <w:t>有线手写签名板</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45CBE2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i w:val="0"/>
                <w:iCs w:val="0"/>
                <w:color w:val="000000"/>
                <w:kern w:val="0"/>
                <w:sz w:val="21"/>
                <w:szCs w:val="21"/>
                <w:u w:val="none"/>
                <w:lang w:val="en-US" w:eastAsia="zh-CN" w:bidi="ar"/>
              </w:rPr>
              <w:t>1、支持手写签名采集/回放：通过手写签名板获取签名人手写签字笔迹，作为数字签名可视化展现效果图示。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2、采用电磁压感相应技术，实现对签名人手写生物特征的完整采集。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3、屏幕尺寸不小于10.1寸；显示分辨率不低于1280 x 800(16:10)。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4、产品符合GM/T 0028-2014《密码模块安全技术要求》安全等级第二级相关要求；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5、产品内置手写信息数字签名密码模块需具备国家密码管理局颁发的《商用密码产品认证证书》。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6、产品符合GB4943.1-2011《信息技术设备安全第一部分：通用要求》。</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14D10489">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台</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AF0C3EF">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70</w:t>
            </w:r>
          </w:p>
        </w:tc>
      </w:tr>
      <w:tr w14:paraId="05F8D6A3">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0774880F">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3</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50A4F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Cs w:val="0"/>
                <w:sz w:val="21"/>
                <w:szCs w:val="21"/>
              </w:rPr>
            </w:pPr>
            <w:r>
              <w:rPr>
                <w:rFonts w:hint="eastAsia" w:ascii="宋体" w:hAnsi="宋体" w:eastAsia="宋体" w:cs="宋体"/>
                <w:i w:val="0"/>
                <w:iCs w:val="0"/>
                <w:color w:val="000000"/>
                <w:kern w:val="0"/>
                <w:sz w:val="21"/>
                <w:szCs w:val="21"/>
                <w:u w:val="none"/>
                <w:lang w:val="en-US" w:eastAsia="zh-CN" w:bidi="ar"/>
              </w:rPr>
              <w:t>时间戳服务器</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79CEBD2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1、机架式设备，配置冗余电源；所采用CPU及操作系统符合安全可靠测评要求；CPU核心≥8核，CPU频率≥2.8GHz，</w:t>
            </w:r>
            <w:r>
              <w:rPr>
                <w:rFonts w:hint="eastAsia" w:ascii="宋体" w:hAnsi="宋体" w:cs="宋体"/>
                <w:b w:val="0"/>
                <w:bCs/>
                <w:kern w:val="0"/>
                <w:sz w:val="21"/>
                <w:szCs w:val="21"/>
                <w:lang w:val="en-US" w:eastAsia="zh-CN" w:bidi="ar-SA"/>
              </w:rPr>
              <w:t>内存≥8G，硬盘≥4T，</w:t>
            </w:r>
            <w:r>
              <w:rPr>
                <w:rFonts w:hint="eastAsia" w:ascii="宋体" w:hAnsi="宋体" w:eastAsia="宋体" w:cs="宋体"/>
                <w:bCs w:val="0"/>
                <w:sz w:val="21"/>
                <w:szCs w:val="21"/>
              </w:rPr>
              <w:t>≥2个千兆电口，≥2个万兆光口；内置液晶显示屏，显示屏可显示当前日期、当前时间、时间源模块类型、时间源状态信息以及信号强度等信息；</w:t>
            </w:r>
          </w:p>
          <w:p w14:paraId="7D1597D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2、时间戳生成速率≥6500次/秒，验证速率≥2000次/秒；</w:t>
            </w:r>
          </w:p>
          <w:p w14:paraId="1CAE5DB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3、内置权威时间源模块，符合国家授时中心的时间精度标准，并且经国家授时中心的权威鉴定测试，网络时间同步精度优于10ms；</w:t>
            </w:r>
          </w:p>
          <w:p w14:paraId="695E67C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4、验证时间戳：支持处理应用系统发来的时间戳验证请求，将时间戳验证结果返回给应用系统；</w:t>
            </w:r>
          </w:p>
          <w:p w14:paraId="03EAB62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5、支持时间戳签发验证功能，签发可信时间戳、验证时间戳有效性；</w:t>
            </w:r>
          </w:p>
          <w:p w14:paraId="3486CD6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6、支持算法：SM2、SM3等国密算；</w:t>
            </w:r>
          </w:p>
          <w:p w14:paraId="3908AFC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7、内置权威时间源模块，符合国家授时中心的时间精度标准；</w:t>
            </w:r>
          </w:p>
          <w:p w14:paraId="0F57D72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8、时间同步:支持NTP、SNTP时间同步协议；</w:t>
            </w:r>
          </w:p>
          <w:p w14:paraId="68F0E38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9、授时精度：0.5-3ms(毫秒)。守时精度：&lt;1ms（72小时），内置恒温晶振；</w:t>
            </w:r>
          </w:p>
          <w:p w14:paraId="213FB12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10、内置单北斗时间源模块，满足新版智慧医疗评级关于时间源的要求，支持启用/禁用BD-I方式从基站获取北斗时间，可以查看时间源的时间以及状态等信息。</w:t>
            </w:r>
          </w:p>
          <w:p w14:paraId="1768747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11、采用可视化管理，使用SNMP协议；提供系统监控、设备硬件及软件的运行状态监测功能，且监测数据与实际一致。可通过管理界面进行应用管理、证书管理、系统配置以及日志查询等操作，可通过web页面直接升级系统。</w:t>
            </w:r>
          </w:p>
          <w:p w14:paraId="32F2D1F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12、产品具备国家密码管理局颁发的《商用密码产品认证证书》，符合GM/T 0033-2014《时间戳接口规范》，符合GM/T 0028-2014《密码模块安全技术要求》第二级要求；</w:t>
            </w:r>
          </w:p>
          <w:p w14:paraId="55CFBA1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13、支持IPv6 Ready Logo认证；</w:t>
            </w:r>
          </w:p>
          <w:p w14:paraId="0B48EF0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14、为保证稳定性，本产品内置密码卡须与本产品为同一品牌，且内置密码卡须具有《商用密码产品认证证书》，要求符合《PCI密码卡技术规范》、GM/T 0018《密码设备应用接口规范》、GM/T 0028《密码模块安全技术要求》第二级要求。</w:t>
            </w:r>
          </w:p>
          <w:p w14:paraId="4F5ECEC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15、产品符合《信息安全技术公钥基础设施时间戳规范GB/T 20520-2006》、《信息安全技术通用渗透测试检测条件JCTJ005-2016》(6.2.1、6.2.2）中的相关条款所述的有关要求。提供检测报告；</w:t>
            </w:r>
          </w:p>
          <w:p w14:paraId="04DD45C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16、时间戳服务器须与院内已建设的电子签名系统直接互认，实现无缝对接。</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3D7C9DFF">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套</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5190478">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1</w:t>
            </w:r>
          </w:p>
        </w:tc>
      </w:tr>
      <w:tr w14:paraId="6CA49EE5">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23FD3046">
            <w:pPr>
              <w:pStyle w:val="14"/>
              <w:pageBreakBefore w:val="0"/>
              <w:kinsoku/>
              <w:wordWrap/>
              <w:overflowPunct/>
              <w:topLinePunct w:val="0"/>
              <w:autoSpaceDE/>
              <w:autoSpaceDN/>
              <w:bidi w:val="0"/>
              <w:adjustRightInd/>
              <w:spacing w:line="360" w:lineRule="auto"/>
              <w:rPr>
                <w:rFonts w:hint="default" w:ascii="宋体" w:hAnsi="宋体" w:eastAsia="宋体" w:cs="宋体"/>
                <w:bCs w:val="0"/>
                <w:sz w:val="21"/>
                <w:szCs w:val="21"/>
                <w:lang w:val="en-US" w:eastAsia="zh-CN"/>
              </w:rPr>
            </w:pPr>
            <w:r>
              <w:rPr>
                <w:rFonts w:hint="eastAsia" w:ascii="宋体" w:hAnsi="宋体" w:cs="宋体"/>
                <w:bCs w:val="0"/>
                <w:sz w:val="21"/>
                <w:szCs w:val="21"/>
                <w:lang w:val="en-US" w:eastAsia="zh-CN"/>
              </w:rPr>
              <w:t>4</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19CFBE4">
            <w:pPr>
              <w:pStyle w:val="14"/>
              <w:pageBreakBefore w:val="0"/>
              <w:kinsoku/>
              <w:wordWrap/>
              <w:overflowPunct/>
              <w:topLinePunct w:val="0"/>
              <w:autoSpaceDE/>
              <w:autoSpaceDN/>
              <w:bidi w:val="0"/>
              <w:adjustRightInd/>
              <w:spacing w:line="360" w:lineRule="auto"/>
              <w:ind w:firstLine="0" w:firstLineChars="0"/>
              <w:rPr>
                <w:rFonts w:hint="eastAsia" w:ascii="宋体" w:hAnsi="宋体" w:eastAsia="宋体" w:cs="宋体"/>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数字证书</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18CE80CE">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符合卫生部《卫生系统数字证书格式规范（试行）》。</w:t>
            </w:r>
          </w:p>
          <w:p w14:paraId="38140DE5">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符合卫生部《卫生系统电子认证服务管理办法（试行）》。</w:t>
            </w:r>
          </w:p>
          <w:p w14:paraId="70AFF16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证书格式标准遵循x．509v3标准。</w:t>
            </w:r>
          </w:p>
          <w:p w14:paraId="483FC061">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数字证书可以与福建省卫健委在用的“县域医学影像”数字认证平台进行直接认证，实现互联互通。</w:t>
            </w:r>
          </w:p>
          <w:p w14:paraId="4CF04101">
            <w:pPr>
              <w:pStyle w:val="14"/>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5、数字证书必须符合国家疫情直报系统数字签名的相关要求，数字证书须通过中国疾病预防控制信息系统符合性测试。</w:t>
            </w:r>
          </w:p>
          <w:p w14:paraId="5A914766">
            <w:pPr>
              <w:pStyle w:val="14"/>
              <w:pageBreakBefore w:val="0"/>
              <w:kinsoku/>
              <w:wordWrap/>
              <w:overflowPunct/>
              <w:topLinePunct w:val="0"/>
              <w:autoSpaceDE/>
              <w:autoSpaceDN/>
              <w:bidi w:val="0"/>
              <w:adjustRightInd/>
              <w:spacing w:line="360" w:lineRule="auto"/>
              <w:ind w:firstLine="0" w:firstLineChars="0"/>
              <w:jc w:val="left"/>
              <w:rPr>
                <w:rFonts w:hint="eastAsia" w:ascii="宋体" w:hAnsi="宋体" w:eastAsia="宋体" w:cs="宋体"/>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6、数字证书须与院内已建设的电子签名系统直接互认，实现无缝对接。</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0B04CB02">
            <w:pPr>
              <w:pStyle w:val="14"/>
              <w:pageBreakBefore w:val="0"/>
              <w:kinsoku/>
              <w:wordWrap/>
              <w:overflowPunct/>
              <w:topLinePunct w:val="0"/>
              <w:autoSpaceDE/>
              <w:autoSpaceDN/>
              <w:bidi w:val="0"/>
              <w:adjustRightInd/>
              <w:spacing w:line="360" w:lineRule="auto"/>
              <w:rPr>
                <w:rFonts w:hint="default"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套</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611957C">
            <w:pPr>
              <w:pStyle w:val="14"/>
              <w:pageBreakBefore w:val="0"/>
              <w:kinsoku/>
              <w:wordWrap/>
              <w:overflowPunct/>
              <w:topLinePunct w:val="0"/>
              <w:autoSpaceDE/>
              <w:autoSpaceDN/>
              <w:bidi w:val="0"/>
              <w:adjustRightInd/>
              <w:spacing w:line="360" w:lineRule="auto"/>
              <w:rPr>
                <w:rFonts w:hint="default" w:ascii="宋体" w:hAnsi="宋体" w:eastAsia="宋体" w:cs="宋体"/>
                <w:bCs w:val="0"/>
                <w:sz w:val="21"/>
                <w:szCs w:val="21"/>
                <w:lang w:val="en-US" w:eastAsia="zh-CN"/>
              </w:rPr>
            </w:pPr>
            <w:r>
              <w:rPr>
                <w:rFonts w:hint="eastAsia" w:ascii="宋体" w:hAnsi="宋体" w:cs="宋体"/>
                <w:bCs w:val="0"/>
                <w:sz w:val="21"/>
                <w:szCs w:val="21"/>
                <w:lang w:val="en-US" w:eastAsia="zh-CN"/>
              </w:rPr>
              <w:t>1</w:t>
            </w:r>
          </w:p>
        </w:tc>
      </w:tr>
    </w:tbl>
    <w:p w14:paraId="376E1A29">
      <w:pPr>
        <w:pStyle w:val="2"/>
        <w:spacing w:line="240" w:lineRule="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2.2.3病区无纸化患者签名平台项目系统运维要求</w:t>
      </w:r>
    </w:p>
    <w:p w14:paraId="0EAA40FC">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eastAsia="宋体"/>
          <w:sz w:val="24"/>
          <w:szCs w:val="24"/>
        </w:rPr>
        <w:t>该项目包含院内院外现信息化系统对接费用，与本项目建设相关产生的系统改造、程序对接、项目实施等费用均包含在本项目总价中。</w:t>
      </w:r>
    </w:p>
    <w:p w14:paraId="00D940CC">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eastAsia="宋体"/>
          <w:sz w:val="24"/>
          <w:szCs w:val="24"/>
        </w:rPr>
        <w:t>无偿配合对接医院三级等保建设要求。</w:t>
      </w:r>
    </w:p>
    <w:p w14:paraId="7E99EAA5">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eastAsia="宋体"/>
          <w:sz w:val="24"/>
          <w:szCs w:val="24"/>
        </w:rPr>
        <w:t>系统相关软硬件及数据库确保能满足上级相关信创要求，提供规范的运行环境。</w:t>
      </w:r>
    </w:p>
    <w:p w14:paraId="54CAC605">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eastAsia="宋体"/>
          <w:sz w:val="24"/>
          <w:szCs w:val="24"/>
        </w:rPr>
        <w:t>在未经医院授权许可的情况下，不得用医院的名义/关键字眼或任何相关地址、域名、信息等在任何网络区域、现实物理区域进行发布或展示、测试、介绍有关于本项目关联的所有系统、功能或数据信息等，须遵守所有接触到的关于医院的有形、无形资料和国家与医疗行业发布的相关保密规定内容，并提供相关承诺函加盖公章。如因乙方未遵守此条款导致医院受到直接或间接经济损失、不良社会舆论等结果，乙方须承担所有不良结果引起的所有经济责任和对应国家规定的法律法规责任。</w:t>
      </w:r>
    </w:p>
    <w:p w14:paraId="646C7F43">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eastAsia="宋体"/>
          <w:sz w:val="24"/>
          <w:szCs w:val="24"/>
        </w:rPr>
        <w:t>所提供的软件产品不允许包含以下任何部分:病毒，时间炸弹，特洛伊木马，蠕虫病毒或者其它非法对系统进行访问（包括删除，关闭等）的功能。严格执行医院相关安全条例，提供相关数据。</w:t>
      </w:r>
    </w:p>
    <w:p w14:paraId="14B7705E">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eastAsia="宋体"/>
          <w:sz w:val="24"/>
          <w:szCs w:val="24"/>
        </w:rPr>
        <w:t>验收应按照招标文件、乙方投标文件的规定或约定进行，具体如下:(1)研究开发所完成的技术成果，达到了本项目的技术指标并具备使用条件后，由甲乙双方对系统进行测试，测试通过后，系统进入试运行阶段，如试运行期间系统运行正常或完成试运行阶段提出的功能修订，达到采购人要求，则双方在试运行期结束10个工作日内。以《软件需求规格说明书》为准(加有变更的需求部分以甲、乙双方签字确认的需求说明文件为准)，由验收小组按本合同和国家有关规定规范组织项目最终验收，出具最终验收报告。(2)在项目验收前，中标人应做好验收文件，包括软件源代码、数据库数据字典、设计文档、测试文档等相关技术文件，并通过采购人的审核。验收需提交的资料包括不仅限于:①产品需求文档②产品设计文档，③产品测试报告④产品用户报告⑤产品用户手册⑥产品部署手册⑦其他安全证明材料:提供第三方具有相关资质的公司出具的全部代码安全审计的合格证明材料。(3)若项目验收不通过，中标人在规定时间整改后，再行验收。若再行:验收仍不通过，采购人有权解除本合同，中标人应返还全部已支付费用，并按合同总价的20%支付违约金。(4)整体验收合格以通过采购人组织的终验并签署最终验收报告为准。验收合格报告出具日为系统验收合格日，并作为计算免费维护期起止日的依据。(5)验收过程所发生的一切费用由中标人承担。</w:t>
      </w:r>
    </w:p>
    <w:p w14:paraId="5ECB3CEE">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lang w:val="en-US" w:eastAsia="zh-CN"/>
        </w:rPr>
      </w:pP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eastAsia="宋体"/>
          <w:sz w:val="24"/>
          <w:szCs w:val="24"/>
        </w:rPr>
        <w:t>质保期，自验收之日起</w:t>
      </w:r>
      <w:r>
        <w:rPr>
          <w:rFonts w:hint="eastAsia" w:ascii="宋体" w:hAnsi="宋体" w:eastAsia="宋体"/>
          <w:sz w:val="24"/>
          <w:szCs w:val="24"/>
          <w:lang w:val="en-US" w:eastAsia="zh-CN"/>
        </w:rPr>
        <w:t>5</w:t>
      </w:r>
      <w:r>
        <w:rPr>
          <w:rFonts w:hint="eastAsia" w:ascii="宋体" w:hAnsi="宋体" w:eastAsia="宋体"/>
          <w:sz w:val="24"/>
          <w:szCs w:val="24"/>
        </w:rPr>
        <w:t>年。在质保期内，7*24*365天小时技术支持服务，随时解决现场可以解决的问题，现场不能解决的问题的响应时间为：根据服务需求的紧急程度，紧急服务需求响应时间为半小时，并能及时解决问题；非紧急服务需求响应时间为1小时以内。日常维护响应时间不得超过4小时。对于电话咨询无法解决的问题，经采购人信息中心授权通过远程登录进行故障诊断和排除。远程登录也未能排除故障的，乙方应提供可替代方案确保业务正常运转，并在24小时内安排人员到甲方现场服务，保证系统在最快的时间内恢复。质保期内运维服务所发生的一切费用由乙方承担。</w:t>
      </w:r>
    </w:p>
    <w:p w14:paraId="72E38D44">
      <w:pPr>
        <w:pStyle w:val="2"/>
        <w:spacing w:line="240" w:lineRule="auto"/>
        <w:outlineLvl w:val="9"/>
        <w:rPr>
          <w:rFonts w:hint="eastAsia" w:ascii="宋体" w:hAnsi="宋体" w:eastAsia="宋体" w:cs="宋体"/>
          <w:b/>
          <w:bCs/>
          <w:sz w:val="24"/>
          <w:szCs w:val="24"/>
          <w:highlight w:val="none"/>
          <w:lang w:val="en-US" w:eastAsia="zh-CN"/>
        </w:rPr>
      </w:pPr>
    </w:p>
    <w:p w14:paraId="23321B36">
      <w:pPr>
        <w:pStyle w:val="2"/>
        <w:spacing w:line="24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2.3合同包3：信息安全设备</w:t>
      </w:r>
    </w:p>
    <w:p w14:paraId="4BD26734">
      <w:pPr>
        <w:pStyle w:val="2"/>
        <w:spacing w:line="240" w:lineRule="auto"/>
        <w:outlineLvl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2.3.1信息安全设备建设目标</w:t>
      </w:r>
    </w:p>
    <w:p w14:paraId="72C7C4B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在厦门市第三医院内网边界（与现有内网边界防火墙组成双机热备）规划部署1套全新下一代防火墙（包含授权入侵防御、防病毒等功能模块），为所有出入医院网络边界的信息化业务通信数据内容安全保护和管控。在外网规划部署1套web应用防火墙系统，利用Web应用防火墙提供全方位Web防护功能，对SQL注入攻击防护、XSS攻击防护、命令注入防护、目录遍历攻击、HTTP请求正规化检查进行有效的识别并阻断，并对HTTP或者HTPPS的异常流量进行有效的监控。通过本次规划建设工作，能够实现以下目标：</w:t>
      </w:r>
    </w:p>
    <w:p w14:paraId="34B9073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1)降低网络重要节点发生不良网络安全事件概率；</w:t>
      </w:r>
    </w:p>
    <w:p w14:paraId="01BE3EC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2)提升网络通信主动防毒、抗入侵能力；</w:t>
      </w:r>
    </w:p>
    <w:p w14:paraId="6394810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3)增强内部网络边界高可靠性运行的能力；</w:t>
      </w:r>
    </w:p>
    <w:p w14:paraId="7CBA08C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4)加强网络安全事件防范、管控、溯源取证能力；</w:t>
      </w:r>
    </w:p>
    <w:p w14:paraId="644DF19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5)符合国家网络安全相关法律、法规规定，满足医院实际网络安全防范需求。</w:t>
      </w:r>
    </w:p>
    <w:p w14:paraId="1323184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6)保障单位面向内部网络、外联专线（医疗云、银联、医保等）业务系统实现7*24小时安全实时通信防护、分析，对有发生漏洞、篡改、黑链、挂马、SQL入侵等行为进行及时告警、阻断，可协助单位有效防护安全事件的处置。</w:t>
      </w:r>
    </w:p>
    <w:p w14:paraId="344DFBE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eastAsia="zh-Hans"/>
        </w:rPr>
        <w:t>有效维护单位网络安全运行，保障重要数据通信安全，有效维护单位直接经济效益和间接社会效益、公众利益等。</w:t>
      </w:r>
    </w:p>
    <w:p w14:paraId="5841FBE6">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br w:type="page"/>
      </w:r>
    </w:p>
    <w:p w14:paraId="6A14910C">
      <w:pPr>
        <w:pStyle w:val="2"/>
        <w:spacing w:line="240" w:lineRule="auto"/>
        <w:outlineLvl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2.3.2信息安全设备项目参数</w:t>
      </w:r>
    </w:p>
    <w:tbl>
      <w:tblPr>
        <w:tblStyle w:val="9"/>
        <w:tblW w:w="4997" w:type="pct"/>
        <w:jc w:val="center"/>
        <w:tblLayout w:type="autofit"/>
        <w:tblCellMar>
          <w:top w:w="0" w:type="dxa"/>
          <w:left w:w="108" w:type="dxa"/>
          <w:bottom w:w="0" w:type="dxa"/>
          <w:right w:w="108" w:type="dxa"/>
        </w:tblCellMar>
      </w:tblPr>
      <w:tblGrid>
        <w:gridCol w:w="855"/>
        <w:gridCol w:w="1191"/>
        <w:gridCol w:w="4833"/>
        <w:gridCol w:w="816"/>
        <w:gridCol w:w="822"/>
      </w:tblGrid>
      <w:tr w14:paraId="5C091DC3">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5109F76C">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CEE6D9B">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17365369">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设备参数</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12B87F6">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3579E23">
            <w:pPr>
              <w:pStyle w:val="14"/>
              <w:pageBreakBefore w:val="0"/>
              <w:kinsoku/>
              <w:wordWrap/>
              <w:overflowPunct/>
              <w:topLinePunct w:val="0"/>
              <w:autoSpaceDE/>
              <w:autoSpaceDN/>
              <w:bidi w:val="0"/>
              <w:adjustRightInd/>
              <w:spacing w:line="360" w:lineRule="auto"/>
              <w:rPr>
                <w:rFonts w:hint="eastAsia" w:ascii="宋体" w:hAnsi="宋体" w:eastAsia="宋体" w:cs="宋体"/>
                <w:b/>
                <w:bCs/>
                <w:sz w:val="21"/>
                <w:szCs w:val="21"/>
              </w:rPr>
            </w:pPr>
            <w:r>
              <w:rPr>
                <w:rFonts w:hint="eastAsia" w:ascii="宋体" w:hAnsi="宋体" w:eastAsia="宋体" w:cs="宋体"/>
                <w:b/>
                <w:bCs/>
                <w:sz w:val="21"/>
                <w:szCs w:val="21"/>
              </w:rPr>
              <w:t>数量</w:t>
            </w:r>
          </w:p>
        </w:tc>
      </w:tr>
      <w:tr w14:paraId="0791D1AE">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424568F8">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1</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5215CFF9">
            <w:pPr>
              <w:widowControl/>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sz w:val="21"/>
                <w:szCs w:val="21"/>
                <w:highlight w:val="none"/>
                <w:shd w:val="clear" w:color="auto" w:fill="auto"/>
                <w:lang w:val="en-US" w:eastAsia="zh-CN"/>
              </w:rPr>
              <w:t>内网边界下一代防火墙</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3A94024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性能要求：网络处理能力≥30Gbps，并发连接≥600万，每秒新建连接≥30万／秒，有冗余电源，标准配置板载≥16个10／100／1000M自适应电口、≥6个SFP插槽和≥8个SFP＋插槽，≥1个Console口，≥1个HA口，≥1个管理口；包含访问控制、地址转换、静态路由、动态路由、策略路由、流量控制、VPN等基础功能；含五年原厂标准软硬件升级维保服务。供应商需提供承诺函并加盖供应商公章。</w:t>
            </w:r>
          </w:p>
          <w:p w14:paraId="12E587E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2.基础防火墙功能：支持NAT、路由设置、包过滤、黑名单、白名单等功能。</w:t>
            </w:r>
          </w:p>
          <w:p w14:paraId="44FDD54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3.排障功能：支持ping、tracert、抓包、端口检测等功能。</w:t>
            </w:r>
          </w:p>
          <w:p w14:paraId="27CD0DA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4.安全功能：支持入侵防御、反病毒、漏洞防护等功能；</w:t>
            </w:r>
          </w:p>
          <w:p w14:paraId="5947981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5.可基于源安全域、目的安全域、源MAC地址、目的MAC地址、源用户、源地址、目的地址、源地区、目的地区、服务、应用、隧道名称、时间、VLAN等因素设置安全策略，安全策略可直接调用漏洞防护、防间谍软件、WEB攻击防护、反病毒、RUL过滤、内容过滤、文件过滤、邮件过滤、行为管控、DNS过滤、联动终端管控等安全业务模板，安全策略动作支持允许、拒绝和隧道，当阻断数据包通过时可针对TCP会话反馈reset报文，针对UDP/ICMP会话反馈ICMP不可达报文。</w:t>
            </w:r>
          </w:p>
          <w:p w14:paraId="3D117BA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6.基础网络功能：支持IPv4和IPv6双协议栈，具备DNS、DHCP、MAC、静态路由、策略路由、RIP、RIPng、OSPF、OSPFv3、ISIS、BGP、IPSec VPN、SSL VPN、GRE VPN、DS-Lite、6in4隧道、VXLAN、BFD、接口联动、802.1x认证等功能。</w:t>
            </w:r>
          </w:p>
          <w:p w14:paraId="1B233CC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7. 协同防护功能：支持与其他安全产品联动构建联防联控的网络安全防护体系，包含终端管控类系统联动、威胁监测与分析类系统联动、态势感知与安全运营类平台联动、蜜罐联动等功能。</w:t>
            </w:r>
          </w:p>
          <w:p w14:paraId="59A50E7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8. SSL解密功能：解密后的数据会进入到高级功能中进行扫描，用以实现加密流量的安全防护。</w:t>
            </w:r>
          </w:p>
          <w:p w14:paraId="027608C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9. 抗拒绝服务攻击功能：能够抵御ICMPFlood、UDPFlood、SYNFlood、TearDrop、Land和Ping of Death等基本的拒绝服务攻击。</w:t>
            </w:r>
          </w:p>
          <w:p w14:paraId="02B17E2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10. 蜜罐诱捕功能：支持对接蜜罐产品，基于源安全域、目的安全域、源用户、源地址、目的地址、服务、VLAN等因素将匹配的数据流量引流至蜜罐设备进行攻击诱捕。</w:t>
            </w:r>
          </w:p>
          <w:p w14:paraId="6B1A970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11. 配置管理功能：支持导出最后保存配置、当前配置、历史配置，可将配置文件导出至本地、FTP服务器、TFTP服务器，并可配置密文导出，支持导入本地、FTP服务器、TFTP服务器的配置文件，并支持至少三份历史配置文件存储和切换，</w:t>
            </w:r>
          </w:p>
          <w:p w14:paraId="524C43A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12.配置同步能力：支持采购方将现有的防火墙策略配置一键导入到内网防火墙，实现同步防火墙配置策略能力，提升采购方内网防火墙配置效率，供应商需提供承诺函并加盖供应商公章。</w:t>
            </w:r>
          </w:p>
          <w:p w14:paraId="7ACE375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13.产品首页支持展示最近7天失陷主机、最近7天风险主机、最近1天威胁统计、最近1天告警信息以及显示设备性能含：CPU使用率、内存使用率、系统盘使用率、风扇转速等。供应商需提供CMA或CNAS认证资质的第三方权威机构检测报告并加盖供应商公章。</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003762D">
            <w:pPr>
              <w:pStyle w:val="14"/>
              <w:pageBreakBefore w:val="0"/>
              <w:kinsoku/>
              <w:wordWrap/>
              <w:overflowPunct/>
              <w:topLinePunct w:val="0"/>
              <w:autoSpaceDE/>
              <w:autoSpaceDN/>
              <w:bidi w:val="0"/>
              <w:adjustRightInd/>
              <w:spacing w:line="360" w:lineRule="auto"/>
              <w:rPr>
                <w:rFonts w:hint="default"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台</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2C4FC1D">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1</w:t>
            </w:r>
          </w:p>
        </w:tc>
      </w:tr>
      <w:tr w14:paraId="472AF455">
        <w:tblPrEx>
          <w:tblCellMar>
            <w:top w:w="0" w:type="dxa"/>
            <w:left w:w="108" w:type="dxa"/>
            <w:bottom w:w="0" w:type="dxa"/>
            <w:right w:w="108" w:type="dxa"/>
          </w:tblCellMar>
        </w:tblPrEx>
        <w:trPr>
          <w:trHeight w:val="23" w:hRule="atLeast"/>
          <w:jc w:val="center"/>
        </w:trPr>
        <w:tc>
          <w:tcPr>
            <w:tcW w:w="502" w:type="pct"/>
            <w:tcBorders>
              <w:top w:val="single" w:color="000000" w:sz="4" w:space="0"/>
              <w:left w:val="single" w:color="000000" w:sz="4" w:space="0"/>
              <w:bottom w:val="single" w:color="000000" w:sz="4" w:space="0"/>
              <w:right w:val="single" w:color="000000" w:sz="4" w:space="0"/>
            </w:tcBorders>
            <w:noWrap w:val="0"/>
            <w:vAlign w:val="center"/>
          </w:tcPr>
          <w:p w14:paraId="326DB220">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2</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08BA50B7">
            <w:pPr>
              <w:widowControl/>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sz w:val="21"/>
                <w:szCs w:val="21"/>
                <w:highlight w:val="none"/>
                <w:shd w:val="clear" w:color="auto" w:fill="auto"/>
                <w:lang w:val="en-US" w:eastAsia="zh-CN"/>
              </w:rPr>
              <w:t>web应用防火墙</w:t>
            </w:r>
          </w:p>
        </w:tc>
        <w:tc>
          <w:tcPr>
            <w:tcW w:w="2836" w:type="pct"/>
            <w:tcBorders>
              <w:top w:val="single" w:color="000000" w:sz="4" w:space="0"/>
              <w:left w:val="single" w:color="000000" w:sz="4" w:space="0"/>
              <w:bottom w:val="single" w:color="000000" w:sz="4" w:space="0"/>
              <w:right w:val="single" w:color="000000" w:sz="4" w:space="0"/>
            </w:tcBorders>
            <w:noWrap w:val="0"/>
            <w:vAlign w:val="center"/>
          </w:tcPr>
          <w:p w14:paraId="627263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1、硬件参数：≤1U机箱，≥1个MGT口，≥1 个 Console口，≥2个 USB3.0 口，≥8个GE(电口，1对bypass)。电源数量≥2，≥480G SSD硬盘。</w:t>
            </w:r>
          </w:p>
          <w:p w14:paraId="5E8D61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2、性能参数：网络吞吐量≥4.5Gbps；HTTP最大并发数≥40万；HTTP最大新建数≥35000；现网HTTP防护流量≥1Gbps，现网 HTTPS 防护流量≥800Mbps，防护站点数量最大≥16.</w:t>
            </w:r>
          </w:p>
          <w:p w14:paraId="452FF7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3、服务：≥5年硬件质保，≥5年WAF特征库升级</w:t>
            </w:r>
          </w:p>
          <w:p w14:paraId="6EAFD9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4、系统具备注入攻击防御能力，可以对SQL注入、LDAP注入、SSI指令注入、Xpath注入、命令注入、远程文件包含以及其他注入进行防御；</w:t>
            </w:r>
          </w:p>
          <w:p w14:paraId="5A1285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5、支持细粒度的HTTP命令级访问控制策略，可以根据客户端IP、HTTP操作方法、HTTP头名称、HTTP内容类型、HTTP协议版本、URI路径等进行访问控制；</w:t>
            </w:r>
          </w:p>
          <w:p w14:paraId="619B18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6、部署在负载均衡设备或代理服务器之后时，可以解析源IP地址（支持X-Forward-For属性），对客户端的真实IP进行阻断；</w:t>
            </w:r>
          </w:p>
          <w:p w14:paraId="2CC615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7、支持各类Flood攻击，包括ICMP Flood、UDP Flood、TCP-SYN Flood、ARP欺骗、DNS查询洪泛等；</w:t>
            </w:r>
          </w:p>
          <w:p w14:paraId="7432E3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8、支持对保护站点的流量进行智能学习，并根据学习结果生成针对性的防护策略；学习的内容包括：动态URL地址、URL参数、HTTP访问方法等信息。；</w:t>
            </w:r>
          </w:p>
          <w:p w14:paraId="58DDEA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9、设备运行状态显示，包括硬盘、内存和CPU、温度利用率的概览显示和详细信息显示；</w:t>
            </w:r>
          </w:p>
          <w:p w14:paraId="217212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10、支持从TCP Option获取源IP地址（TOA）功能。（提供第三方检测检验机构出具的检测报告，报告要求带有CNAS/CMA标识）</w:t>
            </w:r>
          </w:p>
          <w:p w14:paraId="06D618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11、支持用户会话跟踪，所投WAF应支持用户会话跟踪策略，匹配用户会话跟踪策略的用户会话会被WAF记录日志，日志信息包含用户名和会话标识。</w:t>
            </w:r>
          </w:p>
          <w:p w14:paraId="349A62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12、支持WAF与防火墙安全联动功能，当服务器遭受攻击时，WAF上应有相应日志信息，客户端IP会被WAF列入黑名单，防火墙也会有对应的黑名单。（提供第三方检测检验机构出具的检测报告，报告要求带有CNAS/CMA标识）</w:t>
            </w:r>
          </w:p>
          <w:p w14:paraId="1951B7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13、支持漏洞扫描及防护功能，并且能够在扫描完成之后，根据扫描结果，新建虚拟补丁策略。（提供第三方检测检验机构出具的检测报告，报告要求带有CNAS/CMA标识）</w:t>
            </w:r>
          </w:p>
          <w:p w14:paraId="404A64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14、支持APP基于域名方式的一键应急断网，网站跳转到自定义的“维护中页面”，而不是提示”404”错误。（提供第三方检测检验机构出具的检测报告，报告要求带有CNAS/CMA标识）</w:t>
            </w:r>
          </w:p>
          <w:p w14:paraId="55CC35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Cs w:val="0"/>
                <w:sz w:val="21"/>
                <w:szCs w:val="21"/>
              </w:rPr>
            </w:pPr>
            <w:r>
              <w:rPr>
                <w:rFonts w:hint="eastAsia" w:ascii="宋体" w:hAnsi="宋体" w:eastAsia="宋体" w:cs="宋体"/>
                <w:bCs w:val="0"/>
                <w:sz w:val="21"/>
                <w:szCs w:val="21"/>
              </w:rPr>
              <w:t>15、支持个人敏感信息防泄漏功能，可以检测到个人身份信息(包括中国大陆身份证号、港澳台身份证号、美国社会安全号)、银行卡号、信用卡号、邮件账号的信息泄露，支持对敏感信息的脱敏操作(替换为指定字符)。（提供第三方检测检验机构出具的检测报告，报告要求带有CNAS/CMA标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A6A215C">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台</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83898B4">
            <w:pPr>
              <w:pStyle w:val="14"/>
              <w:pageBreakBefore w:val="0"/>
              <w:kinsoku/>
              <w:wordWrap/>
              <w:overflowPunct/>
              <w:topLinePunct w:val="0"/>
              <w:autoSpaceDE/>
              <w:autoSpaceDN/>
              <w:bidi w:val="0"/>
              <w:adjustRightInd/>
              <w:spacing w:line="360" w:lineRule="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1</w:t>
            </w:r>
          </w:p>
        </w:tc>
      </w:tr>
    </w:tbl>
    <w:p w14:paraId="2563440F">
      <w:pPr>
        <w:pStyle w:val="2"/>
        <w:spacing w:line="240" w:lineRule="auto"/>
        <w:outlineLvl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2.3.3信息安全设备项目系统运维要求</w:t>
      </w:r>
    </w:p>
    <w:p w14:paraId="003A367D">
      <w:pPr>
        <w:pStyle w:val="13"/>
        <w:keepNext w:val="0"/>
        <w:keepLines w:val="0"/>
        <w:pageBreakBefore w:val="0"/>
        <w:widowControl w:val="0"/>
        <w:numPr>
          <w:ilvl w:val="0"/>
          <w:numId w:val="2"/>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eastAsia="宋体"/>
          <w:sz w:val="24"/>
          <w:szCs w:val="24"/>
        </w:rPr>
        <w:t>该项目包含院内院外现信息化系统对接费用，与本项目建设相关产生的系统改造、程序对接、项目实施等费用均包含在本项目总价中。</w:t>
      </w:r>
    </w:p>
    <w:p w14:paraId="3D040CE1">
      <w:pPr>
        <w:pStyle w:val="13"/>
        <w:keepNext w:val="0"/>
        <w:keepLines w:val="0"/>
        <w:pageBreakBefore w:val="0"/>
        <w:widowControl w:val="0"/>
        <w:numPr>
          <w:ilvl w:val="0"/>
          <w:numId w:val="2"/>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eastAsia="宋体"/>
          <w:sz w:val="24"/>
          <w:szCs w:val="24"/>
        </w:rPr>
        <w:t>无偿配合对接医院三级等保建设要求。</w:t>
      </w:r>
    </w:p>
    <w:p w14:paraId="65742CB3">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eastAsia="宋体"/>
          <w:sz w:val="24"/>
          <w:szCs w:val="24"/>
        </w:rPr>
        <w:t>（3）系统相关软硬件及数据库确保能满足上级相关信创要求，提供规范的运行环境。</w:t>
      </w:r>
    </w:p>
    <w:p w14:paraId="02F5995A">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eastAsia="宋体"/>
          <w:sz w:val="24"/>
          <w:szCs w:val="24"/>
        </w:rPr>
        <w:t>（4）在未经医院授权许可的情况下，不得用医院的名义/关键字眼或任何相关地址、域名、信息等在任何网络区域、现实物理区域进行发布或展示、测试、介绍有关于本项目关联的所有系统、功能或数据信息等，须遵守所有接触到的关于医院的有形、无形资料和国家与医疗行业发布的相关保密规定内容，并提供相关承诺函加盖公章。如因乙方未遵守此条款导致医院受到直接或间接经济损失、不良社会舆论等结果，乙方须承担所有不良结果引起的所有经济责任和对应国家规定的法律法规责任。</w:t>
      </w:r>
    </w:p>
    <w:p w14:paraId="6423E03C">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eastAsia="宋体"/>
          <w:sz w:val="24"/>
          <w:szCs w:val="24"/>
        </w:rPr>
        <w:t>（5）所提供的软件产品不允许包含以下任何部分:病毒，时间炸弹，特洛伊木马，蠕虫病毒或者其它非法对系统进行访问（包括删除，关闭等）的功能。严格执行医院相关安全条例，提供相关数据。</w:t>
      </w:r>
    </w:p>
    <w:p w14:paraId="3A0E382A">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eastAsia="宋体"/>
          <w:sz w:val="24"/>
          <w:szCs w:val="24"/>
        </w:rPr>
        <w:t>（6）验收应按照招标文件、乙方投标文件的规定或约定进行，具体如下:(1)完成全部建设内容，系统稳定运行，无未整改问题；完成自检、人员培训，满足合同其他前置条件，达到采购人要求，则双方在试运行期结束10个工作日内。由验收小组按采购文件、合同和国家有关规定规范组织项目最终验收，出具最终验收报告。(2)在项目验收前，中标人应做好验收文件，提交加盖公章的完整技术文档规范装订；包括竣工报告、设备证明、拓扑图、系统操作、维护及故障排查手册等相关技术文件，并通过采购人的审核。(3)若项目验收不通过，中标人在规定时间整改后，再行验收。若再行验收仍不通过，采购人有权解除本合同，中标人应返还全部已支付费用，并按合同总价的20%支付违约金。(4)整体验收合格以通过采购人组织的终验并签署最终验收报告为准。验收合格报告出具日为系统验收合格日，并作为计算免费维护期起止日的依据。(5)验收过程所发生的一切费用由中标人承担。</w:t>
      </w:r>
    </w:p>
    <w:p w14:paraId="2A4BC54F">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eastAsia="宋体"/>
          <w:sz w:val="24"/>
          <w:szCs w:val="24"/>
        </w:rPr>
        <w:t>质保期，自验收之日起5年。在质保期内，7*24*365天小时技术支持服务，随时解决现场可以解决的问题，现场不能解决的问题的响应时间为：根据服务需求的紧急程度，紧急服务需求响应时间为半小时，并能及时解决问题；非紧急服务需求响应时间为1小时以内。日常维护响应时间不得超过4小时。对于电话咨询无法解决的问题，经采购人信息中心授权通过远程登录进行故障诊断和排除。远程登录也未能排除故障的，乙方应提供可替代方案确保业务正常运转，并在24小时内安排人员到甲方现场服务，保证系统在最快的时间内恢复。质保期内运维服务所发生的一切费用由乙方承担。</w:t>
      </w:r>
    </w:p>
    <w:p w14:paraId="595E3DE6">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textAlignment w:val="auto"/>
        <w:outlineLvl w:val="9"/>
        <w:rPr>
          <w:rFonts w:hint="eastAsia" w:ascii="宋体" w:hAnsi="宋体"/>
          <w:b/>
          <w:bCs/>
          <w:sz w:val="24"/>
          <w:szCs w:val="24"/>
          <w:lang w:val="en-US" w:eastAsia="zh-CN"/>
        </w:rPr>
      </w:pPr>
    </w:p>
    <w:p w14:paraId="2777F9CD">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textAlignment w:val="auto"/>
        <w:outlineLvl w:val="1"/>
        <w:rPr>
          <w:rFonts w:hint="eastAsia" w:ascii="宋体" w:hAnsi="宋体"/>
          <w:b/>
          <w:bCs/>
          <w:sz w:val="24"/>
          <w:szCs w:val="24"/>
          <w:lang w:val="en-US" w:eastAsia="zh-CN"/>
        </w:rPr>
      </w:pPr>
      <w:r>
        <w:rPr>
          <w:rFonts w:hint="eastAsia" w:ascii="宋体" w:hAnsi="宋体"/>
          <w:b/>
          <w:bCs/>
          <w:sz w:val="24"/>
          <w:szCs w:val="24"/>
          <w:lang w:val="en-US" w:eastAsia="zh-CN"/>
        </w:rPr>
        <w:t>2.4合同包4：PACS存储扩容</w:t>
      </w:r>
    </w:p>
    <w:p w14:paraId="2A245C6D">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textAlignment w:val="auto"/>
        <w:outlineLvl w:val="2"/>
        <w:rPr>
          <w:rFonts w:hint="default" w:ascii="宋体" w:hAnsi="宋体"/>
          <w:b w:val="0"/>
          <w:bCs w:val="0"/>
          <w:sz w:val="24"/>
          <w:szCs w:val="24"/>
          <w:lang w:val="en-US" w:eastAsia="zh-CN"/>
        </w:rPr>
      </w:pPr>
      <w:r>
        <w:rPr>
          <w:rFonts w:hint="eastAsia" w:ascii="宋体" w:hAnsi="宋体"/>
          <w:b w:val="0"/>
          <w:bCs w:val="0"/>
          <w:sz w:val="24"/>
          <w:szCs w:val="24"/>
          <w:lang w:val="en-US" w:eastAsia="zh-CN"/>
        </w:rPr>
        <w:t>2.4.1 PACS存储扩容建设目标</w:t>
      </w:r>
    </w:p>
    <w:p w14:paraId="4F2246BC">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基于医院现有FC-SAN和IP-NAS混合存储架构，结合临床诊疗、肿瘤科研及数据合规存储需求，开展PACS存储扩容建设，核心目标如下：</w:t>
      </w:r>
    </w:p>
    <w:p w14:paraId="5CE02219">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1.新增100TB可用存储容量，其中100TB配置为近线存储，专门承载近期能谱图像、高频调用影像数据，满足日均20-30例能谱图像（单例≥5GB）的存储需求，保障影像调阅、科研分析的高效性；</w:t>
      </w:r>
    </w:p>
    <w:p w14:paraId="667AF792">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2.将原有1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Hans"/>
        </w:rPr>
        <w:t>0TB近线存储改造为对象存储，构建“在线+近线+对象”三级存储架构，实现冷热数据智能分层管理，提升存储资源利用率；</w:t>
      </w:r>
    </w:p>
    <w:p w14:paraId="59A9C5E6">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3.确保扩容后系统与现有PACS系统、RIS系统、电子病历系统</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lang w:eastAsia="zh-Hans"/>
        </w:rPr>
        <w:t>无缝兼容，全程保障临床业务零中断，满足医疗数据长期归档、合规存储及科研调用需求；</w:t>
      </w:r>
    </w:p>
    <w:p w14:paraId="4D04C4D9">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4.优化存储性能，降低运维成本，构建稳定、高效、可扩展的PACS存储体系，支撑医院数字化诊疗及科研工作长远发展。</w:t>
      </w:r>
    </w:p>
    <w:p w14:paraId="35F71BE5">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textAlignment w:val="auto"/>
        <w:outlineLvl w:val="2"/>
        <w:rPr>
          <w:rFonts w:hint="eastAsia" w:ascii="宋体" w:hAnsi="宋体" w:eastAsia="宋体" w:cs="宋体"/>
          <w:b w:val="0"/>
          <w:bCs w:val="0"/>
          <w:sz w:val="24"/>
          <w:szCs w:val="24"/>
          <w:shd w:val="clear" w:color="auto" w:fill="FFFFFF"/>
          <w:lang w:val="en-US" w:eastAsia="zh-CN"/>
        </w:rPr>
      </w:pPr>
      <w:r>
        <w:rPr>
          <w:rFonts w:hint="eastAsia" w:ascii="宋体" w:hAnsi="宋体"/>
          <w:b w:val="0"/>
          <w:bCs w:val="0"/>
          <w:sz w:val="24"/>
          <w:szCs w:val="24"/>
          <w:lang w:val="en-US" w:eastAsia="zh-CN"/>
        </w:rPr>
        <w:t xml:space="preserve">2.4.2 </w:t>
      </w:r>
      <w:r>
        <w:rPr>
          <w:rFonts w:hint="eastAsia" w:ascii="宋体" w:hAnsi="宋体" w:eastAsia="宋体" w:cs="宋体"/>
          <w:b w:val="0"/>
          <w:bCs w:val="0"/>
          <w:sz w:val="24"/>
          <w:szCs w:val="24"/>
          <w:shd w:val="clear" w:color="auto" w:fill="FFFFFF"/>
          <w:lang w:val="en-US" w:eastAsia="zh-Hans"/>
        </w:rPr>
        <w:t>PACS存储扩容</w:t>
      </w:r>
      <w:r>
        <w:rPr>
          <w:rFonts w:hint="eastAsia" w:ascii="宋体" w:hAnsi="宋体" w:eastAsia="宋体" w:cs="宋体"/>
          <w:b w:val="0"/>
          <w:bCs w:val="0"/>
          <w:sz w:val="24"/>
          <w:szCs w:val="24"/>
          <w:shd w:val="clear" w:color="auto" w:fill="FFFFFF"/>
          <w:lang w:val="en-US" w:eastAsia="zh-CN"/>
        </w:rPr>
        <w:t>项目参数</w:t>
      </w:r>
    </w:p>
    <w:tbl>
      <w:tblPr>
        <w:tblStyle w:val="9"/>
        <w:tblW w:w="0" w:type="auto"/>
        <w:jc w:val="center"/>
        <w:tblLayout w:type="autofit"/>
        <w:tblCellMar>
          <w:top w:w="0" w:type="dxa"/>
          <w:left w:w="108" w:type="dxa"/>
          <w:bottom w:w="0" w:type="dxa"/>
          <w:right w:w="108" w:type="dxa"/>
        </w:tblCellMar>
      </w:tblPr>
      <w:tblGrid>
        <w:gridCol w:w="663"/>
        <w:gridCol w:w="1295"/>
        <w:gridCol w:w="5710"/>
        <w:gridCol w:w="427"/>
        <w:gridCol w:w="427"/>
      </w:tblGrid>
      <w:tr w14:paraId="118F6B42">
        <w:tblPrEx>
          <w:tblCellMar>
            <w:top w:w="0" w:type="dxa"/>
            <w:left w:w="108" w:type="dxa"/>
            <w:bottom w:w="0" w:type="dxa"/>
            <w:right w:w="108" w:type="dxa"/>
          </w:tblCellMar>
        </w:tblPrEx>
        <w:trPr>
          <w:trHeight w:val="2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83BFB6">
            <w:pPr>
              <w:pStyle w:val="14"/>
              <w:spacing w:line="360" w:lineRule="auto"/>
              <w:rPr>
                <w:rFonts w:hint="default" w:ascii="宋体" w:hAnsi="宋体" w:cs="宋体"/>
                <w:b/>
                <w:sz w:val="21"/>
                <w:szCs w:val="21"/>
              </w:rPr>
            </w:pPr>
            <w:r>
              <w:rPr>
                <w:rFonts w:ascii="宋体" w:hAnsi="宋体" w:cs="宋体"/>
                <w:b/>
                <w:sz w:val="21"/>
                <w:szCs w:val="21"/>
              </w:rPr>
              <w:t>序号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E2288D9">
            <w:pPr>
              <w:pStyle w:val="14"/>
              <w:spacing w:line="360" w:lineRule="auto"/>
              <w:rPr>
                <w:rFonts w:hint="default" w:ascii="宋体" w:hAnsi="宋体" w:cs="宋体"/>
                <w:b/>
                <w:sz w:val="21"/>
                <w:szCs w:val="21"/>
              </w:rPr>
            </w:pPr>
            <w:r>
              <w:rPr>
                <w:rFonts w:ascii="宋体" w:hAnsi="宋体" w:cs="宋体"/>
                <w:b/>
                <w:sz w:val="21"/>
                <w:szCs w:val="21"/>
              </w:rPr>
              <w:t>设备名称</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14:paraId="5D5D602E">
            <w:pPr>
              <w:pStyle w:val="14"/>
              <w:spacing w:line="360" w:lineRule="auto"/>
              <w:rPr>
                <w:rFonts w:hint="default" w:ascii="宋体" w:hAnsi="宋体" w:cs="宋体"/>
                <w:b/>
                <w:sz w:val="21"/>
                <w:szCs w:val="21"/>
              </w:rPr>
            </w:pPr>
            <w:r>
              <w:rPr>
                <w:rFonts w:ascii="宋体" w:hAnsi="宋体" w:cs="宋体"/>
                <w:b/>
                <w:sz w:val="21"/>
                <w:szCs w:val="21"/>
              </w:rPr>
              <w:t>设备参数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62CE8">
            <w:pPr>
              <w:pStyle w:val="14"/>
              <w:spacing w:line="360" w:lineRule="auto"/>
              <w:rPr>
                <w:rFonts w:hint="default" w:ascii="宋体" w:hAnsi="宋体" w:cs="宋体"/>
                <w:b/>
                <w:sz w:val="21"/>
                <w:szCs w:val="21"/>
              </w:rPr>
            </w:pPr>
            <w:r>
              <w:rPr>
                <w:rFonts w:ascii="宋体" w:hAnsi="宋体" w:cs="宋体"/>
                <w:b/>
                <w:sz w:val="21"/>
                <w:szCs w:val="21"/>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6B60AD">
            <w:pPr>
              <w:pStyle w:val="14"/>
              <w:spacing w:line="360" w:lineRule="auto"/>
              <w:rPr>
                <w:rFonts w:hint="default" w:ascii="宋体" w:hAnsi="宋体" w:cs="宋体"/>
                <w:b/>
                <w:sz w:val="21"/>
                <w:szCs w:val="21"/>
              </w:rPr>
            </w:pPr>
            <w:r>
              <w:rPr>
                <w:rFonts w:ascii="宋体" w:hAnsi="宋体" w:cs="宋体"/>
                <w:b/>
                <w:sz w:val="21"/>
                <w:szCs w:val="21"/>
              </w:rPr>
              <w:t>数量</w:t>
            </w:r>
          </w:p>
        </w:tc>
      </w:tr>
      <w:tr w14:paraId="0F0C3D94">
        <w:tblPrEx>
          <w:tblCellMar>
            <w:top w:w="0" w:type="dxa"/>
            <w:left w:w="108" w:type="dxa"/>
            <w:bottom w:w="0" w:type="dxa"/>
            <w:right w:w="108" w:type="dxa"/>
          </w:tblCellMar>
        </w:tblPrEx>
        <w:trPr>
          <w:trHeight w:val="2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F546F1">
            <w:pPr>
              <w:pStyle w:val="14"/>
              <w:spacing w:line="360" w:lineRule="auto"/>
              <w:rPr>
                <w:rFonts w:hint="default" w:ascii="宋体" w:hAnsi="宋体" w:cs="宋体"/>
                <w:bCs w:val="0"/>
                <w:sz w:val="21"/>
                <w:szCs w:val="21"/>
              </w:rPr>
            </w:pPr>
            <w:r>
              <w:rPr>
                <w:rFonts w:ascii="宋体" w:hAnsi="宋体" w:cs="宋体"/>
                <w:bCs w:val="0"/>
                <w:sz w:val="21"/>
                <w:szCs w:val="21"/>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3302E4">
            <w:pPr>
              <w:widowControl/>
              <w:ind w:firstLine="0" w:firstLineChars="0"/>
              <w:jc w:val="center"/>
              <w:textAlignment w:val="center"/>
              <w:rPr>
                <w:rFonts w:ascii="宋体" w:hAnsi="宋体" w:cs="宋体"/>
                <w:sz w:val="21"/>
                <w:szCs w:val="21"/>
              </w:rPr>
            </w:pPr>
            <w:r>
              <w:rPr>
                <w:rFonts w:hint="eastAsia" w:ascii="宋体" w:hAnsi="宋体" w:cs="宋体"/>
                <w:sz w:val="21"/>
                <w:szCs w:val="21"/>
              </w:rPr>
              <w:t>NAS主机</w:t>
            </w:r>
          </w:p>
        </w:tc>
        <w:tc>
          <w:tcPr>
            <w:tcW w:w="6520" w:type="dxa"/>
            <w:tcBorders>
              <w:top w:val="single" w:color="000000" w:sz="4" w:space="0"/>
              <w:left w:val="single" w:color="000000" w:sz="4" w:space="0"/>
              <w:bottom w:val="single" w:color="000000" w:sz="4" w:space="0"/>
              <w:right w:val="single" w:color="000000" w:sz="4" w:space="0"/>
            </w:tcBorders>
            <w:noWrap w:val="0"/>
            <w:vAlign w:val="top"/>
          </w:tcPr>
          <w:p w14:paraId="41357AED">
            <w:pPr>
              <w:widowControl/>
              <w:spacing w:after="240"/>
              <w:ind w:firstLine="0" w:firstLineChars="0"/>
              <w:jc w:val="left"/>
              <w:rPr>
                <w:rFonts w:ascii="宋体" w:hAnsi="宋体" w:cs="宋体"/>
                <w:sz w:val="21"/>
                <w:szCs w:val="21"/>
              </w:rPr>
            </w:pPr>
            <w:r>
              <w:rPr>
                <w:rFonts w:hint="eastAsia" w:ascii="宋体" w:hAnsi="宋体" w:cs="宋体"/>
                <w:kern w:val="0"/>
                <w:sz w:val="21"/>
                <w:szCs w:val="21"/>
              </w:rPr>
              <w:t>配置双控制器，支持控制双活架构，支持扩展≥24个，配置处理器CPU核数≥16核，主频≥2.1GHz</w:t>
            </w:r>
            <w:r>
              <w:rPr>
                <w:rFonts w:hint="eastAsia" w:ascii="宋体" w:hAnsi="宋体" w:cs="宋体"/>
                <w:kern w:val="0"/>
                <w:sz w:val="21"/>
                <w:szCs w:val="21"/>
              </w:rPr>
              <w:br w:type="textWrapping"/>
            </w:r>
            <w:r>
              <w:rPr>
                <w:rFonts w:hint="eastAsia" w:ascii="宋体" w:hAnsi="宋体" w:cs="宋体"/>
                <w:kern w:val="0"/>
                <w:sz w:val="21"/>
                <w:szCs w:val="21"/>
              </w:rPr>
              <w:t>缓存：配置控制器缓存≥128GB,支持扩展，支持电容掉电保护；</w:t>
            </w:r>
            <w:r>
              <w:rPr>
                <w:rFonts w:hint="eastAsia" w:ascii="宋体" w:hAnsi="宋体" w:cs="宋体"/>
                <w:kern w:val="0"/>
                <w:sz w:val="21"/>
                <w:szCs w:val="21"/>
              </w:rPr>
              <w:br w:type="textWrapping"/>
            </w:r>
            <w:r>
              <w:rPr>
                <w:rFonts w:hint="eastAsia" w:ascii="宋体" w:hAnsi="宋体" w:cs="宋体"/>
                <w:kern w:val="0"/>
                <w:sz w:val="21"/>
                <w:szCs w:val="21"/>
              </w:rPr>
              <w:t>硬盘系统：整机配置NL_SAS磁盘；支持RAID10、5、6等；</w:t>
            </w:r>
            <w:r>
              <w:rPr>
                <w:rFonts w:hint="eastAsia" w:ascii="宋体" w:hAnsi="宋体" w:cs="宋体"/>
                <w:kern w:val="0"/>
                <w:sz w:val="21"/>
                <w:szCs w:val="21"/>
              </w:rPr>
              <w:br w:type="textWrapping"/>
            </w:r>
            <w:r>
              <w:rPr>
                <w:rFonts w:hint="eastAsia" w:ascii="宋体" w:hAnsi="宋体" w:cs="宋体"/>
                <w:kern w:val="0"/>
                <w:sz w:val="21"/>
                <w:szCs w:val="21"/>
              </w:rPr>
              <w:t>配置不少于2TB的二级加速缓存；</w:t>
            </w:r>
            <w:r>
              <w:rPr>
                <w:rFonts w:hint="eastAsia" w:ascii="宋体" w:hAnsi="宋体" w:cs="宋体"/>
                <w:kern w:val="0"/>
                <w:sz w:val="21"/>
                <w:szCs w:val="21"/>
              </w:rPr>
              <w:br w:type="textWrapping"/>
            </w:r>
            <w:r>
              <w:rPr>
                <w:rFonts w:hint="eastAsia" w:ascii="宋体" w:hAnsi="宋体" w:cs="宋体"/>
                <w:kern w:val="0"/>
                <w:sz w:val="21"/>
                <w:szCs w:val="21"/>
              </w:rPr>
              <w:t>支持与现有PACS存储系统做对象存储。</w:t>
            </w:r>
            <w:r>
              <w:rPr>
                <w:rFonts w:hint="eastAsia" w:ascii="宋体" w:hAnsi="宋体" w:cs="宋体"/>
                <w:kern w:val="0"/>
                <w:sz w:val="21"/>
                <w:szCs w:val="21"/>
              </w:rPr>
              <w:br w:type="textWrapping"/>
            </w:r>
            <w:r>
              <w:rPr>
                <w:rFonts w:hint="eastAsia" w:ascii="宋体" w:hAnsi="宋体" w:cs="宋体"/>
                <w:kern w:val="0"/>
                <w:sz w:val="21"/>
                <w:szCs w:val="21"/>
              </w:rPr>
              <w:t>主机接口：每个控制器≥4个；配置25Gb iSCSI主机接口≥8个≥10GB以上；每个控制器配置独立的管理口，扩展柜为双冗余链路设计；（端口均须包含模块）</w:t>
            </w:r>
            <w:r>
              <w:rPr>
                <w:rFonts w:hint="eastAsia" w:ascii="宋体" w:hAnsi="宋体" w:cs="宋体"/>
                <w:kern w:val="0"/>
                <w:sz w:val="21"/>
                <w:szCs w:val="21"/>
              </w:rPr>
              <w:br w:type="textWrapping"/>
            </w:r>
            <w:r>
              <w:rPr>
                <w:rFonts w:hint="eastAsia" w:ascii="宋体" w:hAnsi="宋体" w:cs="宋体"/>
                <w:kern w:val="0"/>
                <w:sz w:val="21"/>
                <w:szCs w:val="21"/>
              </w:rPr>
              <w:t>配置磁盘阵列连接磁盘的12Gb SAS3.0后端端口4个；</w:t>
            </w:r>
            <w:r>
              <w:rPr>
                <w:rFonts w:hint="eastAsia" w:ascii="宋体" w:hAnsi="宋体" w:cs="宋体"/>
                <w:kern w:val="0"/>
                <w:sz w:val="21"/>
                <w:szCs w:val="21"/>
              </w:rPr>
              <w:br w:type="textWrapping"/>
            </w:r>
            <w:r>
              <w:rPr>
                <w:rFonts w:hint="eastAsia" w:ascii="宋体" w:hAnsi="宋体" w:cs="宋体"/>
                <w:kern w:val="0"/>
                <w:sz w:val="21"/>
                <w:szCs w:val="21"/>
              </w:rPr>
              <w:t>须同时提供FC,NAS和对象存储访问方式，提供对象存储协议用于数据归档长久保存。</w:t>
            </w:r>
            <w:r>
              <w:rPr>
                <w:rFonts w:hint="eastAsia" w:ascii="宋体" w:hAnsi="宋体" w:cs="宋体"/>
                <w:kern w:val="0"/>
                <w:sz w:val="21"/>
                <w:szCs w:val="21"/>
              </w:rPr>
              <w:br w:type="textWrapping"/>
            </w:r>
            <w:r>
              <w:rPr>
                <w:rFonts w:hint="eastAsia" w:ascii="宋体" w:hAnsi="宋体" w:cs="宋体"/>
                <w:kern w:val="0"/>
                <w:sz w:val="21"/>
                <w:szCs w:val="21"/>
              </w:rPr>
              <w:t>配置NFS、NFSv3、NFSv4.0、NFSv4.1、NFSv4.2、pNFS协议；</w:t>
            </w:r>
            <w:r>
              <w:rPr>
                <w:rFonts w:hint="eastAsia" w:ascii="宋体" w:hAnsi="宋体" w:cs="宋体"/>
                <w:kern w:val="0"/>
                <w:sz w:val="21"/>
                <w:szCs w:val="21"/>
              </w:rPr>
              <w:br w:type="textWrapping"/>
            </w:r>
            <w:r>
              <w:rPr>
                <w:rFonts w:hint="eastAsia" w:ascii="宋体" w:hAnsi="宋体" w:cs="宋体"/>
                <w:kern w:val="0"/>
                <w:sz w:val="21"/>
                <w:szCs w:val="21"/>
              </w:rPr>
              <w:t>配置FCP、iSCSI、CIFS、NFS、对象存储协议；</w:t>
            </w:r>
            <w:r>
              <w:rPr>
                <w:rFonts w:hint="eastAsia" w:ascii="宋体" w:hAnsi="宋体" w:cs="宋体"/>
                <w:kern w:val="0"/>
                <w:sz w:val="21"/>
                <w:szCs w:val="21"/>
              </w:rPr>
              <w:br w:type="textWrapping"/>
            </w:r>
            <w:r>
              <w:rPr>
                <w:rFonts w:hint="eastAsia" w:ascii="宋体" w:hAnsi="宋体" w:cs="宋体"/>
                <w:kern w:val="0"/>
                <w:sz w:val="21"/>
                <w:szCs w:val="21"/>
              </w:rPr>
              <w:t>具有完全在线、无需停机的扩充能力，包括系统微码升级、系统处理能力的扩充、存储容量的扩充等；</w:t>
            </w:r>
            <w:r>
              <w:rPr>
                <w:rFonts w:hint="eastAsia" w:ascii="宋体" w:hAnsi="宋体" w:cs="宋体"/>
                <w:kern w:val="0"/>
                <w:sz w:val="21"/>
                <w:szCs w:val="21"/>
              </w:rPr>
              <w:br w:type="textWrapping"/>
            </w:r>
            <w:r>
              <w:rPr>
                <w:rFonts w:hint="eastAsia" w:ascii="宋体" w:hAnsi="宋体" w:cs="宋体"/>
                <w:kern w:val="0"/>
                <w:sz w:val="21"/>
                <w:szCs w:val="21"/>
              </w:rPr>
              <w:t>配置不限制容量的公有云和私有云分层功能，可以将NAS集中存储中的SAN和NAS数据自动分层转存于对象存储中且不改近线存储不会因为空间不足导致溢出无法存储，以实现对冷热数据的生命周期管理，分层同时支持对双活/非双活数据的按需分层设置，以最大限度的细粒度管理能。</w:t>
            </w:r>
            <w:r>
              <w:rPr>
                <w:rFonts w:hint="eastAsia" w:ascii="宋体" w:hAnsi="宋体" w:cs="宋体"/>
                <w:kern w:val="0"/>
                <w:sz w:val="21"/>
                <w:szCs w:val="21"/>
              </w:rPr>
              <w:br w:type="textWrapping"/>
            </w:r>
            <w:r>
              <w:rPr>
                <w:rFonts w:hint="eastAsia" w:ascii="宋体" w:hAnsi="宋体" w:cs="宋体"/>
                <w:kern w:val="0"/>
                <w:sz w:val="21"/>
                <w:szCs w:val="21"/>
              </w:rPr>
              <w:t>统一协议存储架构，每个控制器均支持同时提供基于数据块、文件、对象的存储访问协议，无需外部网关设备，无需控制器内起容器额外部署服务；</w:t>
            </w:r>
            <w:r>
              <w:rPr>
                <w:rFonts w:hint="eastAsia" w:ascii="宋体" w:hAnsi="宋体" w:cs="宋体"/>
                <w:kern w:val="0"/>
                <w:sz w:val="21"/>
                <w:szCs w:val="21"/>
              </w:rPr>
              <w:br w:type="textWrapping"/>
            </w:r>
            <w:r>
              <w:rPr>
                <w:rFonts w:hint="eastAsia" w:ascii="宋体" w:hAnsi="宋体" w:cs="宋体"/>
                <w:kern w:val="0"/>
                <w:sz w:val="21"/>
                <w:szCs w:val="21"/>
              </w:rPr>
              <w:t>提供容器平台接口组件，配置容器接口调用存储资源，使用NFS协议访问调用存储资源；</w:t>
            </w:r>
            <w:r>
              <w:rPr>
                <w:rFonts w:hint="eastAsia" w:ascii="宋体" w:hAnsi="宋体" w:cs="宋体"/>
                <w:kern w:val="0"/>
                <w:sz w:val="21"/>
                <w:szCs w:val="21"/>
              </w:rPr>
              <w:br w:type="textWrapping"/>
            </w:r>
            <w:r>
              <w:rPr>
                <w:rFonts w:hint="eastAsia" w:ascii="宋体" w:hAnsi="宋体" w:cs="宋体"/>
                <w:kern w:val="0"/>
                <w:sz w:val="21"/>
                <w:szCs w:val="21"/>
              </w:rPr>
              <w:t>配置基于数据块的SAN+NAS重复数据删除功能，提高存储空间利用率，支持在线和后处理方式；</w:t>
            </w:r>
            <w:r>
              <w:rPr>
                <w:rFonts w:hint="eastAsia" w:ascii="宋体" w:hAnsi="宋体" w:cs="宋体"/>
                <w:kern w:val="0"/>
                <w:sz w:val="21"/>
                <w:szCs w:val="21"/>
              </w:rPr>
              <w:br w:type="textWrapping"/>
            </w:r>
            <w:r>
              <w:rPr>
                <w:rFonts w:hint="eastAsia" w:ascii="宋体" w:hAnsi="宋体" w:cs="宋体"/>
                <w:kern w:val="0"/>
                <w:sz w:val="21"/>
                <w:szCs w:val="21"/>
              </w:rPr>
              <w:t>配置基于数据块的SAN+NAS压缩功能，提高存储空间利用率，支持在线和后处理方式；</w:t>
            </w:r>
            <w:r>
              <w:rPr>
                <w:rFonts w:hint="eastAsia" w:ascii="宋体" w:hAnsi="宋体" w:cs="宋体"/>
                <w:kern w:val="0"/>
                <w:sz w:val="21"/>
                <w:szCs w:val="21"/>
              </w:rPr>
              <w:br w:type="textWrapping"/>
            </w:r>
            <w:r>
              <w:rPr>
                <w:rFonts w:hint="eastAsia" w:ascii="宋体" w:hAnsi="宋体" w:cs="宋体"/>
                <w:kern w:val="0"/>
                <w:sz w:val="21"/>
                <w:szCs w:val="21"/>
              </w:rPr>
              <w:t>配置存储QoS功能，支持SAN+NAS，可以实现数据访问优先级控制，提供针对不同级别的卷，可以由存储系统自动分配更多资源给级别较高的卷，从而保证核心应用系统的性能。针对单一某个卷，可以同时设定其性能上限最高值和下限最低值，可以自适应QOS，以每TB容量设置IOPS值；</w:t>
            </w:r>
            <w:r>
              <w:rPr>
                <w:rFonts w:hint="eastAsia" w:ascii="宋体" w:hAnsi="宋体" w:cs="宋体"/>
                <w:kern w:val="0"/>
                <w:sz w:val="21"/>
                <w:szCs w:val="21"/>
              </w:rPr>
              <w:br w:type="textWrapping"/>
            </w:r>
            <w:r>
              <w:rPr>
                <w:rFonts w:hint="eastAsia" w:ascii="宋体" w:hAnsi="宋体" w:cs="宋体"/>
                <w:kern w:val="0"/>
                <w:sz w:val="21"/>
                <w:szCs w:val="21"/>
              </w:rPr>
              <w:t>提供中文界面存储管理软件，能够提供文件使用情况分析，可以查看到访问频度，访问量，最频繁的客户端，能够查看NFS客户端连接状态、存储服务IP地址及客户端IP地址等信息；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2C7C7">
            <w:pPr>
              <w:widowControl/>
              <w:ind w:firstLine="0" w:firstLineChars="0"/>
              <w:jc w:val="center"/>
              <w:textAlignment w:val="center"/>
              <w:rPr>
                <w:rFonts w:ascii="宋体" w:hAnsi="宋体" w:cs="宋体"/>
                <w:sz w:val="21"/>
                <w:szCs w:val="21"/>
              </w:rPr>
            </w:pPr>
            <w:r>
              <w:rPr>
                <w:rFonts w:hint="eastAsia" w:ascii="宋体" w:hAnsi="宋体" w:cs="宋体"/>
                <w:sz w:val="21"/>
                <w:szCs w:val="21"/>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F44DC8">
            <w:pPr>
              <w:widowControl/>
              <w:ind w:firstLine="0" w:firstLineChars="0"/>
              <w:jc w:val="center"/>
              <w:textAlignment w:val="center"/>
              <w:rPr>
                <w:rFonts w:ascii="宋体" w:hAnsi="宋体" w:cs="宋体"/>
                <w:sz w:val="21"/>
                <w:szCs w:val="21"/>
              </w:rPr>
            </w:pPr>
            <w:r>
              <w:rPr>
                <w:rFonts w:hint="eastAsia" w:ascii="宋体" w:hAnsi="宋体" w:cs="宋体"/>
                <w:sz w:val="21"/>
                <w:szCs w:val="21"/>
              </w:rPr>
              <w:t>1</w:t>
            </w:r>
          </w:p>
        </w:tc>
      </w:tr>
      <w:tr w14:paraId="524EF06B">
        <w:tblPrEx>
          <w:tblCellMar>
            <w:top w:w="0" w:type="dxa"/>
            <w:left w:w="108" w:type="dxa"/>
            <w:bottom w:w="0" w:type="dxa"/>
            <w:right w:w="108" w:type="dxa"/>
          </w:tblCellMar>
        </w:tblPrEx>
        <w:trPr>
          <w:trHeight w:val="2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938357B">
            <w:pPr>
              <w:pStyle w:val="14"/>
              <w:spacing w:line="360" w:lineRule="auto"/>
              <w:rPr>
                <w:rFonts w:hint="default" w:ascii="宋体" w:hAnsi="宋体" w:cs="宋体"/>
                <w:bCs w:val="0"/>
                <w:sz w:val="21"/>
                <w:szCs w:val="21"/>
              </w:rPr>
            </w:pPr>
            <w:r>
              <w:rPr>
                <w:rFonts w:ascii="宋体" w:hAnsi="宋体" w:cs="宋体"/>
                <w:bCs w:val="0"/>
                <w:sz w:val="21"/>
                <w:szCs w:val="21"/>
              </w:rPr>
              <w:t>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1E702F0">
            <w:pPr>
              <w:widowControl/>
              <w:ind w:firstLine="0" w:firstLineChars="0"/>
              <w:jc w:val="center"/>
              <w:textAlignment w:val="center"/>
              <w:rPr>
                <w:rFonts w:ascii="宋体" w:hAnsi="宋体" w:cs="宋体"/>
                <w:sz w:val="21"/>
                <w:szCs w:val="21"/>
              </w:rPr>
            </w:pPr>
            <w:r>
              <w:rPr>
                <w:rFonts w:hint="eastAsia" w:ascii="宋体" w:hAnsi="宋体" w:cs="宋体"/>
                <w:sz w:val="21"/>
                <w:szCs w:val="21"/>
              </w:rPr>
              <w:t>对象存储扩展柜1台含容量</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14:paraId="4A82E785">
            <w:pPr>
              <w:widowControl/>
              <w:ind w:firstLine="0" w:firstLineChars="0"/>
              <w:jc w:val="left"/>
              <w:rPr>
                <w:rFonts w:ascii="宋体" w:hAnsi="宋体" w:cs="宋体"/>
                <w:sz w:val="21"/>
                <w:szCs w:val="21"/>
              </w:rPr>
            </w:pPr>
            <w:r>
              <w:rPr>
                <w:rFonts w:hint="eastAsia" w:ascii="宋体" w:hAnsi="宋体" w:cs="宋体"/>
                <w:kern w:val="0"/>
                <w:sz w:val="21"/>
                <w:szCs w:val="21"/>
              </w:rPr>
              <w:t>近线扩容RAID（三盘校验）之后有效容量大于等于100TiB NL_SAS空间，为避免更新过快导致硬盘停产，本次容量必须配置最新款的硬盘，保证三年到五年内采购同类型的硬盘能够采购到原厂硬盘。</w:t>
            </w:r>
            <w:r>
              <w:rPr>
                <w:rFonts w:hint="eastAsia" w:ascii="宋体" w:hAnsi="宋体" w:cs="宋体"/>
                <w:kern w:val="0"/>
                <w:sz w:val="21"/>
                <w:szCs w:val="21"/>
              </w:rPr>
              <w:br w:type="textWrapping"/>
            </w:r>
            <w:r>
              <w:rPr>
                <w:rFonts w:hint="eastAsia" w:ascii="宋体" w:hAnsi="宋体" w:cs="宋体"/>
                <w:kern w:val="0"/>
                <w:sz w:val="21"/>
                <w:szCs w:val="21"/>
              </w:rPr>
              <w:t>本次配置专用扩展柜≥12盘位，配置≥7.2K NLSAS硬盘≥10T/块，可用总容量≥100TB；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71E55">
            <w:pPr>
              <w:widowControl/>
              <w:ind w:firstLine="0" w:firstLineChars="0"/>
              <w:jc w:val="center"/>
              <w:textAlignment w:val="center"/>
              <w:rPr>
                <w:rFonts w:ascii="宋体" w:hAnsi="宋体" w:cs="宋体"/>
                <w:sz w:val="21"/>
                <w:szCs w:val="21"/>
              </w:rPr>
            </w:pPr>
            <w:r>
              <w:rPr>
                <w:rFonts w:hint="eastAsia" w:ascii="宋体" w:hAnsi="宋体" w:cs="宋体"/>
                <w:sz w:val="21"/>
                <w:szCs w:val="21"/>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62AAC4">
            <w:pPr>
              <w:widowControl/>
              <w:ind w:firstLine="0" w:firstLineChars="0"/>
              <w:jc w:val="center"/>
              <w:textAlignment w:val="center"/>
              <w:rPr>
                <w:rFonts w:ascii="宋体" w:hAnsi="宋体" w:cs="宋体"/>
                <w:sz w:val="21"/>
                <w:szCs w:val="21"/>
              </w:rPr>
            </w:pPr>
            <w:r>
              <w:rPr>
                <w:rFonts w:hint="eastAsia" w:ascii="宋体" w:hAnsi="宋体" w:cs="宋体"/>
                <w:sz w:val="21"/>
                <w:szCs w:val="21"/>
              </w:rPr>
              <w:t>1</w:t>
            </w:r>
          </w:p>
        </w:tc>
      </w:tr>
      <w:tr w14:paraId="62C1B477">
        <w:tblPrEx>
          <w:tblCellMar>
            <w:top w:w="0" w:type="dxa"/>
            <w:left w:w="108" w:type="dxa"/>
            <w:bottom w:w="0" w:type="dxa"/>
            <w:right w:w="108" w:type="dxa"/>
          </w:tblCellMar>
        </w:tblPrEx>
        <w:trPr>
          <w:trHeight w:val="2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8D6A65">
            <w:pPr>
              <w:pStyle w:val="14"/>
              <w:spacing w:line="360" w:lineRule="auto"/>
              <w:rPr>
                <w:rFonts w:hint="default" w:ascii="宋体" w:hAnsi="宋体" w:cs="宋体"/>
                <w:bCs w:val="0"/>
                <w:sz w:val="21"/>
                <w:szCs w:val="21"/>
              </w:rPr>
            </w:pPr>
            <w:r>
              <w:rPr>
                <w:rFonts w:ascii="宋体" w:hAnsi="宋体" w:cs="宋体"/>
                <w:bCs w:val="0"/>
                <w:sz w:val="21"/>
                <w:szCs w:val="21"/>
              </w:rPr>
              <w:t>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91476D6">
            <w:pPr>
              <w:widowControl/>
              <w:ind w:firstLine="0" w:firstLineChars="0"/>
              <w:jc w:val="left"/>
              <w:rPr>
                <w:rFonts w:ascii="宋体" w:hAnsi="宋体" w:cs="宋体"/>
                <w:sz w:val="21"/>
                <w:szCs w:val="21"/>
              </w:rPr>
            </w:pPr>
            <w:r>
              <w:rPr>
                <w:rFonts w:hint="eastAsia" w:ascii="宋体" w:hAnsi="宋体" w:cs="宋体"/>
                <w:kern w:val="0"/>
                <w:sz w:val="21"/>
                <w:szCs w:val="21"/>
              </w:rPr>
              <w:t>PACS存储复制软件</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14:paraId="7A0E29FB">
            <w:pPr>
              <w:widowControl/>
              <w:ind w:firstLine="0" w:firstLineChars="0"/>
              <w:jc w:val="left"/>
              <w:rPr>
                <w:rFonts w:ascii="宋体" w:hAnsi="宋体" w:cs="宋体"/>
                <w:sz w:val="21"/>
                <w:szCs w:val="21"/>
              </w:rPr>
            </w:pPr>
            <w:r>
              <w:rPr>
                <w:rFonts w:hint="eastAsia" w:ascii="宋体" w:hAnsi="宋体" w:cs="宋体"/>
                <w:kern w:val="0"/>
                <w:sz w:val="21"/>
                <w:szCs w:val="21"/>
              </w:rPr>
              <w:t>提供存储底层数据复制许可，可使用此存储复制许可进行存储底层数据复制至对象存储上。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AE2C57">
            <w:pPr>
              <w:pStyle w:val="14"/>
              <w:spacing w:line="360" w:lineRule="auto"/>
              <w:rPr>
                <w:rFonts w:hint="default" w:ascii="宋体" w:hAnsi="宋体" w:cs="宋体"/>
                <w:bCs w:val="0"/>
                <w:sz w:val="21"/>
                <w:szCs w:val="21"/>
              </w:rPr>
            </w:pPr>
            <w:r>
              <w:rPr>
                <w:rFonts w:hint="eastAsia" w:ascii="宋体" w:hAnsi="宋体" w:cs="宋体"/>
                <w:sz w:val="21"/>
                <w:szCs w:val="21"/>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2BC1E">
            <w:pPr>
              <w:pStyle w:val="14"/>
              <w:spacing w:line="360" w:lineRule="auto"/>
              <w:rPr>
                <w:rFonts w:hint="default" w:ascii="宋体" w:hAnsi="宋体" w:cs="宋体"/>
                <w:bCs w:val="0"/>
                <w:sz w:val="21"/>
                <w:szCs w:val="21"/>
              </w:rPr>
            </w:pPr>
            <w:r>
              <w:rPr>
                <w:rFonts w:ascii="宋体" w:hAnsi="宋体" w:cs="宋体"/>
                <w:bCs w:val="0"/>
                <w:sz w:val="21"/>
                <w:szCs w:val="21"/>
              </w:rPr>
              <w:t>1</w:t>
            </w:r>
          </w:p>
        </w:tc>
      </w:tr>
      <w:tr w14:paraId="29B9A798">
        <w:tblPrEx>
          <w:tblCellMar>
            <w:top w:w="0" w:type="dxa"/>
            <w:left w:w="108" w:type="dxa"/>
            <w:bottom w:w="0" w:type="dxa"/>
            <w:right w:w="108" w:type="dxa"/>
          </w:tblCellMar>
        </w:tblPrEx>
        <w:trPr>
          <w:trHeight w:val="2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3829EFAF">
            <w:pPr>
              <w:pStyle w:val="14"/>
              <w:spacing w:line="360" w:lineRule="auto"/>
              <w:rPr>
                <w:rFonts w:hint="default" w:ascii="宋体" w:hAnsi="宋体" w:cs="宋体"/>
                <w:bCs w:val="0"/>
                <w:sz w:val="21"/>
                <w:szCs w:val="21"/>
              </w:rPr>
            </w:pPr>
            <w:r>
              <w:rPr>
                <w:rFonts w:ascii="宋体" w:hAnsi="宋体" w:cs="宋体"/>
                <w:bCs w:val="0"/>
                <w:sz w:val="21"/>
                <w:szCs w:val="21"/>
              </w:rPr>
              <w:t>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79F0CE0">
            <w:pPr>
              <w:widowControl/>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PACS存储扩容系统集成</w:t>
            </w:r>
            <w:r>
              <w:rPr>
                <w:rFonts w:hint="eastAsia"/>
                <w:sz w:val="21"/>
                <w:szCs w:val="21"/>
              </w:rPr>
              <w:t>服务</w:t>
            </w:r>
          </w:p>
        </w:tc>
        <w:tc>
          <w:tcPr>
            <w:tcW w:w="6520" w:type="dxa"/>
            <w:tcBorders>
              <w:top w:val="single" w:color="000000" w:sz="4" w:space="0"/>
              <w:left w:val="single" w:color="000000" w:sz="4" w:space="0"/>
              <w:bottom w:val="single" w:color="000000" w:sz="4" w:space="0"/>
              <w:right w:val="single" w:color="000000" w:sz="4" w:space="0"/>
            </w:tcBorders>
            <w:noWrap w:val="0"/>
            <w:vAlign w:val="top"/>
          </w:tcPr>
          <w:p w14:paraId="2827DCD2">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集成：</w:t>
            </w:r>
          </w:p>
          <w:p w14:paraId="402AC54F">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br w:type="page"/>
            </w:r>
            <w:r>
              <w:rPr>
                <w:rFonts w:hint="eastAsia" w:ascii="宋体" w:hAnsi="宋体" w:cs="宋体"/>
                <w:kern w:val="0"/>
                <w:sz w:val="21"/>
                <w:szCs w:val="21"/>
              </w:rPr>
              <w:t>1、投标人须对我院PACS存储架构了解清楚，并与现有PACS存储硬件、软件无缝兼容、且保持原有数据归档于同一路径下。</w:t>
            </w:r>
          </w:p>
          <w:p w14:paraId="2256BE09">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br w:type="page"/>
            </w:r>
            <w:r>
              <w:rPr>
                <w:rFonts w:hint="eastAsia" w:ascii="宋体" w:hAnsi="宋体" w:cs="宋体"/>
                <w:kern w:val="0"/>
                <w:sz w:val="21"/>
                <w:szCs w:val="21"/>
              </w:rPr>
              <w:t>2、中标方负责与我院PACS软件厂商、原硬件存储厂商配合对接，对接所产生的第三方对接费用均已包含在本预算中，医院不再额外提供对接费用。</w:t>
            </w:r>
          </w:p>
          <w:p w14:paraId="3082F598">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br w:type="page"/>
            </w:r>
            <w:r>
              <w:rPr>
                <w:rFonts w:hint="eastAsia" w:ascii="宋体" w:hAnsi="宋体" w:cs="宋体"/>
                <w:kern w:val="0"/>
                <w:sz w:val="21"/>
                <w:szCs w:val="21"/>
              </w:rPr>
              <w:t>3、不能与现有PACS存储系统无缝兼容且NAS扩容容量必须在同一存储池上进行对接的视为无效中标人，按评标顺序由第二中标人中标。</w:t>
            </w:r>
          </w:p>
          <w:p w14:paraId="7817028B">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br w:type="page"/>
            </w:r>
            <w:r>
              <w:rPr>
                <w:rFonts w:hint="eastAsia" w:ascii="宋体" w:hAnsi="宋体" w:cs="宋体"/>
                <w:kern w:val="0"/>
                <w:sz w:val="21"/>
                <w:szCs w:val="21"/>
              </w:rPr>
              <w:t>4、中标人未签订合同前须提供中标同一型号设备与我院现有PACS存储软硬件集成进行无缝对接测试，测试费用均为中标人承担。</w:t>
            </w:r>
            <w:r>
              <w:rPr>
                <w:rFonts w:hint="eastAsia" w:ascii="宋体" w:hAnsi="宋体" w:cs="宋体"/>
                <w:kern w:val="0"/>
                <w:sz w:val="21"/>
                <w:szCs w:val="21"/>
              </w:rPr>
              <w:br w:type="page"/>
            </w:r>
          </w:p>
          <w:p w14:paraId="32F924BE">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5、中标人需提供软硬件5年免费用维护期，免费维护期内与本项目有关的所产生的任何费用均由中标人承担。</w:t>
            </w:r>
          </w:p>
          <w:p w14:paraId="758AAC19">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br w:type="page"/>
            </w:r>
            <w:r>
              <w:rPr>
                <w:rFonts w:hint="eastAsia" w:ascii="宋体" w:hAnsi="宋体" w:cs="宋体"/>
                <w:kern w:val="0"/>
                <w:sz w:val="21"/>
                <w:szCs w:val="21"/>
              </w:rPr>
              <w:t>6、须按方案要求进行实施。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D73382">
            <w:pPr>
              <w:pStyle w:val="14"/>
              <w:spacing w:line="360" w:lineRule="auto"/>
              <w:rPr>
                <w:rFonts w:hint="default" w:ascii="宋体" w:hAnsi="宋体" w:cs="宋体"/>
                <w:bCs w:val="0"/>
                <w:sz w:val="21"/>
                <w:szCs w:val="21"/>
              </w:rPr>
            </w:pPr>
            <w:r>
              <w:rPr>
                <w:rFonts w:ascii="宋体" w:hAnsi="宋体" w:cs="宋体"/>
                <w:bCs w:val="0"/>
                <w:sz w:val="21"/>
                <w:szCs w:val="21"/>
              </w:rPr>
              <w:t>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F77305">
            <w:pPr>
              <w:pStyle w:val="14"/>
              <w:spacing w:line="360" w:lineRule="auto"/>
              <w:rPr>
                <w:rFonts w:hint="eastAsia" w:ascii="宋体" w:hAnsi="宋体" w:eastAsia="宋体" w:cs="宋体"/>
                <w:bCs w:val="0"/>
                <w:sz w:val="21"/>
                <w:szCs w:val="21"/>
                <w:lang w:val="en-US" w:eastAsia="zh-CN"/>
              </w:rPr>
            </w:pPr>
            <w:r>
              <w:rPr>
                <w:rFonts w:hint="eastAsia" w:ascii="宋体" w:hAnsi="宋体" w:cs="宋体"/>
                <w:bCs w:val="0"/>
                <w:sz w:val="21"/>
                <w:szCs w:val="21"/>
                <w:lang w:val="en-US" w:eastAsia="zh-CN"/>
              </w:rPr>
              <w:t>1</w:t>
            </w:r>
          </w:p>
        </w:tc>
      </w:tr>
      <w:tr w14:paraId="121143C6">
        <w:tblPrEx>
          <w:tblCellMar>
            <w:top w:w="0" w:type="dxa"/>
            <w:left w:w="108" w:type="dxa"/>
            <w:bottom w:w="0" w:type="dxa"/>
            <w:right w:w="108" w:type="dxa"/>
          </w:tblCellMar>
        </w:tblPrEx>
        <w:trPr>
          <w:trHeight w:val="2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5D2737">
            <w:pPr>
              <w:pStyle w:val="14"/>
              <w:spacing w:line="360" w:lineRule="auto"/>
              <w:rPr>
                <w:rFonts w:hint="eastAsia" w:ascii="宋体" w:hAnsi="宋体" w:eastAsia="宋体" w:cs="宋体"/>
                <w:bCs w:val="0"/>
                <w:sz w:val="21"/>
                <w:szCs w:val="21"/>
                <w:lang w:val="en-US" w:eastAsia="zh-CN"/>
              </w:rPr>
            </w:pPr>
            <w:r>
              <w:rPr>
                <w:rFonts w:hint="eastAsia" w:ascii="宋体" w:hAnsi="宋体" w:cs="宋体"/>
                <w:bCs w:val="0"/>
                <w:sz w:val="21"/>
                <w:szCs w:val="21"/>
                <w:lang w:val="en-US" w:eastAsia="zh-CN"/>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7887EBC">
            <w:pPr>
              <w:widowControl/>
              <w:ind w:firstLine="0" w:firstLineChars="0"/>
              <w:jc w:val="center"/>
              <w:textAlignment w:val="center"/>
              <w:rPr>
                <w:rFonts w:ascii="宋体" w:hAnsi="宋体" w:cs="宋体"/>
                <w:color w:val="000000"/>
                <w:kern w:val="0"/>
                <w:sz w:val="21"/>
                <w:szCs w:val="21"/>
                <w:lang w:bidi="ar"/>
              </w:rPr>
            </w:pPr>
            <w:r>
              <w:rPr>
                <w:rFonts w:hint="eastAsia" w:ascii="宋体" w:hAnsi="宋体" w:eastAsia="宋体" w:cs="宋体"/>
                <w:color w:val="auto"/>
                <w:kern w:val="0"/>
                <w:sz w:val="24"/>
                <w:szCs w:val="24"/>
                <w:highlight w:val="none"/>
                <w:shd w:val="clear" w:color="auto" w:fill="auto"/>
              </w:rPr>
              <w:t>PACS存储扩容</w:t>
            </w:r>
            <w:r>
              <w:rPr>
                <w:rFonts w:hint="eastAsia" w:ascii="宋体" w:hAnsi="宋体" w:cs="宋体"/>
                <w:color w:val="auto"/>
                <w:kern w:val="0"/>
                <w:sz w:val="24"/>
                <w:szCs w:val="24"/>
                <w:highlight w:val="none"/>
                <w:shd w:val="clear" w:color="auto" w:fill="auto"/>
                <w:lang w:val="en-US" w:eastAsia="zh-CN"/>
              </w:rPr>
              <w:t>系统迁移服务</w:t>
            </w:r>
          </w:p>
        </w:tc>
        <w:tc>
          <w:tcPr>
            <w:tcW w:w="6520" w:type="dxa"/>
            <w:tcBorders>
              <w:top w:val="single" w:color="000000" w:sz="4" w:space="0"/>
              <w:left w:val="single" w:color="000000" w:sz="4" w:space="0"/>
              <w:bottom w:val="single" w:color="000000" w:sz="4" w:space="0"/>
              <w:right w:val="single" w:color="000000" w:sz="4" w:space="0"/>
            </w:tcBorders>
            <w:noWrap w:val="0"/>
            <w:vAlign w:val="top"/>
          </w:tcPr>
          <w:p w14:paraId="25FDD257">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一、专项服务范围</w:t>
            </w:r>
          </w:p>
          <w:p w14:paraId="0883B54D">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本专项服务包含PACS影像数据迁移前期准备、分批迁移实施、全程安全保障、数据校验、业务切换、应急处置及迁移后收尾等全流程专项服务，具体要求符合本专项参数及项目总招标技术规范。</w:t>
            </w:r>
          </w:p>
          <w:p w14:paraId="2F311C80">
            <w:pPr>
              <w:widowControl/>
              <w:spacing w:line="240" w:lineRule="auto"/>
              <w:ind w:firstLine="0" w:firstLineChars="0"/>
              <w:jc w:val="left"/>
              <w:rPr>
                <w:rFonts w:ascii="宋体" w:hAnsi="宋体" w:cs="宋体"/>
                <w:kern w:val="0"/>
                <w:sz w:val="21"/>
                <w:szCs w:val="21"/>
              </w:rPr>
            </w:pPr>
          </w:p>
          <w:p w14:paraId="6BC0986B">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二、核心迁移量化专项要求</w:t>
            </w:r>
          </w:p>
          <w:p w14:paraId="581946B7">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（一）基础业务量参数</w:t>
            </w:r>
          </w:p>
          <w:p w14:paraId="0AD02086">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迁移数据规模：需迁移PACS系统检查人次共计380万，影像数据总容量100TB，包含单张规格为512KB的影像文件，按100TB÷512KB精确计算，总图片张数约2.1亿张，需覆盖全量PACS业务数据，无遗漏、无缺失。</w:t>
            </w:r>
          </w:p>
          <w:p w14:paraId="39BDF808">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数据完整性要求：迁移完成后，目标端PACS数据与源端数据的人次、文件数、容量完全一致，单文件属性无波动，确保每一张影像文件可正常查阅、使用，符合医疗影像业务使用标准。</w:t>
            </w:r>
          </w:p>
          <w:p w14:paraId="285DA5D2">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（二）单次迁移能力参数</w:t>
            </w:r>
          </w:p>
          <w:p w14:paraId="1AB90E16">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单次迁移人次：每批次迁移PACS检查人次不超过2万（不可突破系统并发限制）。</w:t>
            </w:r>
          </w:p>
          <w:p w14:paraId="4F0438FA">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单次迁移数据量：每批次迁移数据量约0.53TB（按总数据量与总人次平均计算，含迁移全流程耗时）。</w:t>
            </w:r>
          </w:p>
          <w:p w14:paraId="3FC704B8">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单次迁移耗时：每批次迁移全流程耗时不超过5小时，需在指定时间窗口内完成，不得影响PACS系统正常业务开展。</w:t>
            </w:r>
          </w:p>
          <w:p w14:paraId="01C1F2F0">
            <w:pPr>
              <w:pStyle w:val="2"/>
              <w:rPr>
                <w:sz w:val="21"/>
                <w:szCs w:val="21"/>
              </w:rPr>
            </w:pPr>
          </w:p>
          <w:p w14:paraId="7E48BF76">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（三）时间窗口及周期参数</w:t>
            </w:r>
          </w:p>
          <w:p w14:paraId="2A29D717">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迁移时间窗口：固定为每日凌晨01:00-07:00（共6小时），需避开PACS业务高峰时段，保障现有系统正常运行，不得在非窗口时间开展迁移操作（特殊应急情况除外，需提前报备甲方）。</w:t>
            </w:r>
          </w:p>
          <w:p w14:paraId="43559B0C">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迁移轮次：每日仅可执行1轮迁移，不可并行操作，预留1小时应急时间，用于处理迁移过程中的突发异常。</w:t>
            </w:r>
          </w:p>
          <w:p w14:paraId="1F8E2A3A">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整体周期：总迁移轮次为190轮，按1轮/天连续执行，总迁移天数不超过190天，可根据节假日情况微调，微调方案需提前3个工作日提交甲方审核确认，且需符合项目总进度要求。</w:t>
            </w:r>
          </w:p>
          <w:p w14:paraId="5B298D8F">
            <w:pPr>
              <w:widowControl/>
              <w:spacing w:line="240" w:lineRule="auto"/>
              <w:ind w:firstLine="0" w:firstLineChars="0"/>
              <w:jc w:val="left"/>
              <w:rPr>
                <w:rFonts w:ascii="宋体" w:hAnsi="宋体" w:cs="宋体"/>
                <w:kern w:val="0"/>
                <w:sz w:val="21"/>
                <w:szCs w:val="21"/>
              </w:rPr>
            </w:pPr>
          </w:p>
          <w:p w14:paraId="3A372E2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（四）医院提供网络资源具备要求</w:t>
            </w:r>
          </w:p>
          <w:p w14:paraId="5A717D9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带宽要求：迁移流量需使用独立万兆（10Gbps）链路，传输时间不超过7分钟/批次，确保带宽无瓶颈，满足迁移效率要求。</w:t>
            </w:r>
          </w:p>
          <w:p w14:paraId="36617A4A">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系统约束：严格遵循现有PACS系统并发限制，不得突破系统性能阈值，迁移过程中需实时监控系统负载，确保源端业务正常运行。</w:t>
            </w:r>
          </w:p>
          <w:p w14:paraId="275B4134">
            <w:pPr>
              <w:pStyle w:val="2"/>
              <w:rPr>
                <w:sz w:val="21"/>
                <w:szCs w:val="21"/>
              </w:rPr>
            </w:pPr>
          </w:p>
          <w:p w14:paraId="5203BA92">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三、迁移技术及流程专项要求</w:t>
            </w:r>
          </w:p>
          <w:p w14:paraId="38136032">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（一）关键计算逻辑要求</w:t>
            </w:r>
          </w:p>
          <w:p w14:paraId="4572CB3A">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数据量核算：需按照“总数据量100TB÷单张图片大小512KB”的公式，精确计算总图片数量，作为数据校验、迁移批次划分的基础依据，核算结果需提交甲方备案。</w:t>
            </w:r>
          </w:p>
          <w:p w14:paraId="33F466DD">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迁移批次划分：根据总数据量和总人次核算人均数据量，结合单次迁移人次上限，确定每批次迁移数据规模，确保批次划分科学合理，符合系统并发限制及项目总进度要求。</w:t>
            </w:r>
          </w:p>
          <w:p w14:paraId="0CD4DF54">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进度规划：按照“总检查人次÷单次迁移人次”的公式，核算总迁移轮次，制定详细的每日、每周迁移进度计划，明确各阶段时间节点、工作内容及责任人，进度计划需融入项目总进度体系。</w:t>
            </w:r>
          </w:p>
          <w:p w14:paraId="76BAF134">
            <w:pPr>
              <w:widowControl/>
              <w:spacing w:line="240" w:lineRule="auto"/>
              <w:ind w:firstLine="0" w:firstLineChars="0"/>
              <w:jc w:val="left"/>
              <w:rPr>
                <w:rFonts w:ascii="宋体" w:hAnsi="宋体" w:cs="宋体"/>
                <w:kern w:val="0"/>
                <w:sz w:val="21"/>
                <w:szCs w:val="21"/>
              </w:rPr>
            </w:pPr>
          </w:p>
          <w:p w14:paraId="637181FF">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（二）迁移执行流程要求</w:t>
            </w:r>
          </w:p>
          <w:p w14:paraId="2608333B">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准备阶段（第1-5天）：完成迁移环境准备、PACS源存储及数据库完整备份、权限配置、数据校验基线建立等基础工作，确保迁移环境就绪，提交准备阶段验收报告，经甲方确认后方可进入下一阶段，验收标准符合项目总验收规范。</w:t>
            </w:r>
          </w:p>
          <w:p w14:paraId="6C8FC11E">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分批迁移阶段（第6-195天）：每日凌晨在指定时间窗口内执行1轮数据迁移，每迁移一批次立即进行即时校验，确认无误后再开展下一批次迁移，每日提交迁移日报（含迁移量、成功率、异常情况等），日报需同步至项目总管理体系。</w:t>
            </w:r>
          </w:p>
          <w:p w14:paraId="7A078C58">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校验与切换阶段（第196-200天）：完成全量数据迁移后，对源端和目标端PACS数据进行全量比对，验证PACS/影像系统在新存储上的各项功能完整性，完成最终业务切换，提交阶段验收报告及迁移总结报告，配合甲方完成专项验收及项目总验收。</w:t>
            </w:r>
          </w:p>
          <w:p w14:paraId="000DE920">
            <w:pPr>
              <w:widowControl/>
              <w:spacing w:line="240" w:lineRule="auto"/>
              <w:ind w:firstLine="0" w:firstLineChars="0"/>
              <w:jc w:val="left"/>
              <w:rPr>
                <w:rFonts w:ascii="宋体" w:hAnsi="宋体" w:cs="宋体"/>
                <w:kern w:val="0"/>
                <w:sz w:val="21"/>
                <w:szCs w:val="21"/>
              </w:rPr>
            </w:pPr>
          </w:p>
          <w:p w14:paraId="6DBE407F">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四、安全保障专项要求</w:t>
            </w:r>
          </w:p>
          <w:p w14:paraId="629557BA">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（一）迁移前安全保障</w:t>
            </w:r>
          </w:p>
          <w:p w14:paraId="2CE66D7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数据备份：对PACS源存储、数据库及相关配置文件进行完整备份，备份数据需进行恢复演练，确保备份有效、数据可回滚，提交备份及恢复演练报告，符合甲方数据安全管理要求。</w:t>
            </w:r>
          </w:p>
          <w:p w14:paraId="5B03ECD9">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校验基线：建立完善的数据校验基线，详细统计源端PACS数据总人次、文件数、容量及MD5校验值，作为迁移过程中及迁移后的校验依据，基线数据需提交甲方审核备案。</w:t>
            </w:r>
          </w:p>
          <w:p w14:paraId="37724E93">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权限管理：创建迁移专用账号，遵循最小权限原则，仅开放迁移所需的必要读写权限，迁移完成后立即回收，降低安全风险，账号管理符合甲方权限管控规范。</w:t>
            </w:r>
          </w:p>
          <w:p w14:paraId="6685EE8A">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4.  传输安全：迁移流量走独立万兆链路及专用VLAN，配置严格的防火墙策略，防止数据传输过程中被窃取、篡改，保障传输安全，符合国家医疗数据安全相关规定及甲方安全要求。</w:t>
            </w:r>
          </w:p>
          <w:p w14:paraId="15DD880C">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（二）迁移中安全保障</w:t>
            </w:r>
          </w:p>
          <w:p w14:paraId="7D3EDCE4">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分批校验：采用分批迁移、即时校验模式，每迁移一批次数据，立即对数据完整性、一致性进行校验，确认无误后再推进下一批次，杜绝批量数据异常。</w:t>
            </w:r>
          </w:p>
          <w:p w14:paraId="5A02EC9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文件校验：对每一个影像文件进行MD5/SHA256哈希值校验，确保数据传输过程中未被篡改、损坏，校验结果需留存备查，可配合甲方安全审计。</w:t>
            </w:r>
          </w:p>
          <w:p w14:paraId="66B58CD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源数据保护：采用只读方式进行数据迁移，严禁对源端PACS数据进行删除、覆盖、修改等操作，确保现有业务系统正常运行，无业务中断风险。</w:t>
            </w:r>
          </w:p>
          <w:p w14:paraId="1B4AFA2D">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4.  操作追溯：详细记录迁移全流程每一步操作，包括操作时间、迁移量、校验结果、操作人员、成功率等信息，确保所有操作可追溯、可审计，形成完整的操作日志，日志需按甲方要求留存。</w:t>
            </w:r>
          </w:p>
          <w:p w14:paraId="7D9DA29F">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5.  异常监控：设置完善的异常监控机制，实时监测迁移过程中的数据校验失败、文件丢失、网络中断等异常情况，一旦发现异常，立即暂停迁移，启动应急处置流程，排查问题并报备甲方及项目总管理团队。</w:t>
            </w:r>
          </w:p>
          <w:p w14:paraId="79A87280">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（三）迁移后安全保障</w:t>
            </w:r>
          </w:p>
          <w:p w14:paraId="2CCA0F68">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全量比对：迁移完成后，对源端和目标端的PACS数据进行全量比对，确保总人次、图像数、容量及哈希值完全一致，提交全量比对报告，作为专项验收依据。</w:t>
            </w:r>
          </w:p>
          <w:p w14:paraId="368BB336">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功能验证：全面验证PACS/影像系统在新存储上的各项功能，包括影像查阅、传输、打印、报告关联等，确保业务功能正常，无异常报错，符合医疗影像业务使用标准。</w:t>
            </w:r>
          </w:p>
          <w:p w14:paraId="29544B1F">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源数据留存：迁移完成后，源端PACS数据需保留至少30天，待确认新存储系统稳定运行、数据无异常后，再按照甲方要求进行归档或清理，清理方案需经甲方审核确认。</w:t>
            </w:r>
          </w:p>
          <w:p w14:paraId="5EE0DB0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4.  安全收尾：立即回收所有迁移相关的临时账号、关闭临时策略，删除临时共享，消除安全隐患，提交安全收尾报告，配合甲方完成安全验收。</w:t>
            </w:r>
          </w:p>
          <w:p w14:paraId="18FC2A84">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五、风险应对及应急专项要求</w:t>
            </w:r>
          </w:p>
          <w:p w14:paraId="0C333AB8">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（一）主要风险应对策略</w:t>
            </w:r>
          </w:p>
          <w:p w14:paraId="1B9DB414">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数据安全风险：实施多重校验（文件大小、哈希值）及全量备份策略，确保PACS数据可恢复，杜绝数据丢失、篡改风险，符合甲方数据安全应急预案要求。</w:t>
            </w:r>
          </w:p>
          <w:p w14:paraId="021BBFA5">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迁移中断风险：采用断点续传技术，支持迁移任务从中断点继续执行，避免重复劳动，提升迁移效率，确保迁移进度不影响项目总进度。</w:t>
            </w:r>
          </w:p>
          <w:p w14:paraId="4FAE29E2">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业务影响风险：严格在指定业务低峰期（凌晨）开展迁移操作，实时监控源系统性能，发现系统负载异常立即暂停迁移，保障现有PACS业务连续性。</w:t>
            </w:r>
          </w:p>
          <w:p w14:paraId="2AC2CCE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4.  权限安全风险：严格控制迁移账号权限，开展迁移全流程操作审计，迁移前后对系统进行安全扫描，排查安全隐患，符合甲方安全管理规范。</w:t>
            </w:r>
          </w:p>
          <w:p w14:paraId="4D2DA399">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（二）应急回滚方案要求</w:t>
            </w:r>
          </w:p>
          <w:p w14:paraId="55931C6D">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告警触发：当监控系统发现数据不一致、业务异常或迁移失败等情况时，立即触发告警，第一时间通知甲方及乙方技术团队、项目总管理团队。</w:t>
            </w:r>
          </w:p>
          <w:p w14:paraId="6084959C">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紧急处置：立即暂停当前所有迁移任务，阻断数据写入，防止问题扩大化，同步记录异常现象及日志，为问题排查提供依据。</w:t>
            </w:r>
          </w:p>
          <w:p w14:paraId="0BFDA40C">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回滚执行：执行预演通过的回滚程序，将PACS业务流量逐步切换回原存储环境，确保回滚过程平稳，无业务中断，回滚方案需符合甲方应急处置规范。</w:t>
            </w:r>
          </w:p>
          <w:p w14:paraId="19966A3E">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4.  问题排查：组织专业技术团队分析异常日志，定位问题根源，制定修复方案，及时完成问题修复，并提交异常处置及修复报告，同步至项目总管理体系。</w:t>
            </w:r>
          </w:p>
          <w:p w14:paraId="31B5D07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5.  重新评估：问题解决后，重新评估迁移风险，调整迁移计划（如需），经甲方确认后，再继续开展迁移操作，确保不影响项目总进度。</w:t>
            </w:r>
          </w:p>
          <w:p w14:paraId="694694B4">
            <w:pPr>
              <w:widowControl/>
              <w:spacing w:line="240" w:lineRule="auto"/>
              <w:ind w:firstLine="0" w:firstLineChars="0"/>
              <w:jc w:val="left"/>
              <w:rPr>
                <w:rFonts w:ascii="宋体" w:hAnsi="宋体" w:cs="宋体"/>
                <w:kern w:val="0"/>
                <w:sz w:val="21"/>
                <w:szCs w:val="21"/>
              </w:rPr>
            </w:pPr>
          </w:p>
          <w:p w14:paraId="79574537">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六、专项服务要求</w:t>
            </w:r>
          </w:p>
          <w:p w14:paraId="54E952F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（一）人员要求</w:t>
            </w:r>
          </w:p>
          <w:p w14:paraId="321370C2">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乙方需组建专项迁移服务团队，团队核心成员需具备PACS系统数据迁移相关经验，熟悉医疗影像数据特点及迁移技术，提供团队成员资质证明、相关项目经验证明，人员配置需符合项目总人员要求。</w:t>
            </w:r>
          </w:p>
          <w:p w14:paraId="0E1661C6">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团队需配备专职项目经理，负责迁移全流程的协调、进度管控、异常处置等工作，确保专项服务按计划推进，项目经理需全程在岗，随时响应甲方及项目总管理团队需求。</w:t>
            </w:r>
          </w:p>
          <w:p w14:paraId="3251E109">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（二）沟通及报告要求</w:t>
            </w:r>
          </w:p>
          <w:p w14:paraId="45F1AF2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  建立专项沟通机制，每周配合项目总沟通会，同步迁移进度、存在问题及下一步计划，提交周进度报告，融入项目总报告体系。</w:t>
            </w:r>
          </w:p>
          <w:p w14:paraId="1812B73D">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  迁移过程中出现重大异常情况，乙方需在30分钟内通知甲方，及时同步处置进展，不得隐瞒、拖延，并同步上报项目总管理团队。</w:t>
            </w:r>
          </w:p>
          <w:p w14:paraId="3E35F29C">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  各阶段完成后，乙方需提交相应的验收报告（准备阶段、分批迁移阶段、校验与切换阶段），迁移全部完成后，提交完整的迁移总结报告、操作日志、校验报告、安全报告等相关资料，配合甲方完成专项验收及项目总验收。</w:t>
            </w:r>
          </w:p>
          <w:p w14:paraId="0DAE288E">
            <w:pPr>
              <w:widowControl/>
              <w:spacing w:line="240" w:lineRule="auto"/>
              <w:ind w:firstLine="0" w:firstLineChars="0"/>
              <w:jc w:val="left"/>
              <w:rPr>
                <w:rFonts w:ascii="宋体" w:hAnsi="宋体" w:cs="宋体"/>
                <w:kern w:val="0"/>
                <w:sz w:val="21"/>
                <w:szCs w:val="21"/>
              </w:rPr>
            </w:pPr>
          </w:p>
          <w:p w14:paraId="6681ACD7">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（三）验收要求</w:t>
            </w:r>
          </w:p>
          <w:p w14:paraId="45E7265F">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硬件到货验收：乙方将硬件设备运送至甲方指定地点后，甲方应在5个工作日内组织硬件到货验收。验收内容包括硬件数量、型号规格、外观完好性、配件齐全性等。硬件到货验收若验收不合格的，乙方应在10个工作日内完成更换或补足，相关费用由乙方承担。</w:t>
            </w:r>
          </w:p>
          <w:p w14:paraId="1FFF844F">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2、硬件安装调试验收：硬件设备安装调试完成后，甲方对硬件运行状态、性能指标、与现有系统的兼容性等进行验收，若验收不合格，乙方需无偿整改直至验收合格。</w:t>
            </w:r>
          </w:p>
          <w:p w14:paraId="0A61BD7D">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3、PACS数据迁移专项验收：</w:t>
            </w:r>
          </w:p>
          <w:p w14:paraId="0149B841">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3.1 分阶段验收：甲方对专项服务各阶段（准备阶段、分批迁移阶段、校验与切换阶段）进行分阶段验收，验收合格后方可进入下一阶段。验收不合格的，乙方需在甲方规定期限内无偿整改，直至验收合格，整改费用由乙方承担。分阶段验收标准符合项目整体验收规范要求。</w:t>
            </w:r>
          </w:p>
          <w:p w14:paraId="03F80833">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3.2 专项验收：迁移全部完成后，甲方对PACS数据迁移专项服务的迁移数据完整性、系统功能、安全保障等进行专项验收，验收合格后出具专项验收意见。验收不合格的，乙方需无偿整改，直至验收合格。若逾期未整改合格，甲方有权追究乙方违约责任。</w:t>
            </w:r>
          </w:p>
          <w:p w14:paraId="17FD4D14">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4、项目整体竣工验收：在硬件设备稳定运行、PACS数据迁移专项验收合格的基础上，甲方组织项目整体竣工验收。验收内容包括但不限于性能指标、数据一致性、安全保障等。若验收不合格，乙方需继续整改直至合格，整改期间不计入逾期，但整体验收逾期超过合同约定期限的，甲方有权追究乙方违约责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D68EE3">
            <w:pPr>
              <w:pStyle w:val="14"/>
              <w:spacing w:line="360" w:lineRule="auto"/>
              <w:rPr>
                <w:rFonts w:hint="default" w:ascii="宋体" w:hAnsi="宋体" w:eastAsia="宋体" w:cs="宋体"/>
                <w:bCs w:val="0"/>
                <w:sz w:val="21"/>
                <w:szCs w:val="21"/>
                <w:lang w:val="en-US" w:eastAsia="zh-CN"/>
              </w:rPr>
            </w:pPr>
            <w:r>
              <w:rPr>
                <w:rFonts w:hint="eastAsia" w:ascii="宋体" w:hAnsi="宋体" w:cs="宋体"/>
                <w:bCs w:val="0"/>
                <w:sz w:val="21"/>
                <w:szCs w:val="21"/>
                <w:lang w:val="en-US" w:eastAsia="zh-CN"/>
              </w:rPr>
              <w:t>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9CC6C">
            <w:pPr>
              <w:pStyle w:val="14"/>
              <w:spacing w:line="360" w:lineRule="auto"/>
              <w:rPr>
                <w:rFonts w:hint="eastAsia" w:ascii="宋体" w:hAnsi="宋体" w:eastAsia="宋体" w:cs="宋体"/>
                <w:bCs w:val="0"/>
                <w:sz w:val="21"/>
                <w:szCs w:val="21"/>
                <w:lang w:val="en-US" w:eastAsia="zh-CN"/>
              </w:rPr>
            </w:pPr>
            <w:r>
              <w:rPr>
                <w:rFonts w:hint="eastAsia" w:ascii="宋体" w:hAnsi="宋体" w:cs="宋体"/>
                <w:bCs w:val="0"/>
                <w:sz w:val="21"/>
                <w:szCs w:val="21"/>
                <w:lang w:val="en-US" w:eastAsia="zh-CN"/>
              </w:rPr>
              <w:t>1</w:t>
            </w:r>
          </w:p>
        </w:tc>
      </w:tr>
    </w:tbl>
    <w:p w14:paraId="4C21712C">
      <w:pPr>
        <w:widowControl/>
        <w:spacing w:line="240" w:lineRule="auto"/>
        <w:ind w:firstLine="0" w:firstLineChars="0"/>
        <w:jc w:val="left"/>
        <w:outlineLvl w:val="2"/>
        <w:rPr>
          <w:rFonts w:hint="eastAsia" w:ascii="宋体" w:hAnsi="宋体" w:cs="宋体"/>
          <w:kern w:val="0"/>
          <w:sz w:val="24"/>
          <w:szCs w:val="24"/>
          <w:lang w:val="en-US" w:eastAsia="zh-CN"/>
        </w:rPr>
      </w:pPr>
      <w:r>
        <w:rPr>
          <w:rFonts w:hint="eastAsia" w:ascii="宋体" w:hAnsi="宋体" w:cs="宋体"/>
          <w:kern w:val="0"/>
          <w:sz w:val="24"/>
          <w:szCs w:val="24"/>
          <w:lang w:val="en-US" w:eastAsia="zh-CN"/>
        </w:rPr>
        <w:t>2.4.2 PACS存储扩容项目系统运维要求</w:t>
      </w:r>
    </w:p>
    <w:p w14:paraId="1ED06BAF">
      <w:pPr>
        <w:keepNext w:val="0"/>
        <w:keepLines w:val="0"/>
        <w:pageBreakBefore w:val="0"/>
        <w:widowControl/>
        <w:kinsoku/>
        <w:wordWrap/>
        <w:overflowPunct/>
        <w:topLinePunct w:val="0"/>
        <w:autoSpaceDE/>
        <w:autoSpaceDN/>
        <w:bidi w:val="0"/>
        <w:snapToGrid/>
        <w:spacing w:line="240" w:lineRule="auto"/>
        <w:ind w:firstLine="480" w:firstLineChars="200"/>
        <w:jc w:val="left"/>
        <w:textAlignment w:val="auto"/>
        <w:rPr>
          <w:rFonts w:hint="default" w:ascii="宋体" w:hAnsi="宋体" w:eastAsia="宋体" w:cs="宋体"/>
          <w:b w:val="0"/>
          <w:bCs w:val="0"/>
          <w:sz w:val="24"/>
          <w:szCs w:val="24"/>
          <w:shd w:val="clear" w:color="auto" w:fill="FFFFFF"/>
          <w:lang w:val="en-US" w:eastAsia="zh-CN"/>
        </w:rPr>
      </w:pPr>
      <w:r>
        <w:rPr>
          <w:rFonts w:hint="default" w:ascii="宋体" w:hAnsi="宋体" w:eastAsia="宋体" w:cs="宋体"/>
          <w:b w:val="0"/>
          <w:bCs w:val="0"/>
          <w:sz w:val="24"/>
          <w:szCs w:val="24"/>
          <w:shd w:val="clear" w:color="auto" w:fill="FFFFFF"/>
          <w:lang w:val="en-US" w:eastAsia="zh-CN"/>
        </w:rPr>
        <w:t>（1）该项目包含院内院外现信息化系统对接费用，与本项目建设相关产生的系统改造、程序对接、项目实施等费用均包含在本项目总价中。</w:t>
      </w:r>
    </w:p>
    <w:p w14:paraId="4B100997">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outlineLvl w:val="9"/>
        <w:rPr>
          <w:rFonts w:hint="default" w:ascii="宋体" w:hAnsi="宋体" w:eastAsia="宋体" w:cs="宋体"/>
          <w:b w:val="0"/>
          <w:bCs w:val="0"/>
          <w:sz w:val="24"/>
          <w:szCs w:val="24"/>
          <w:shd w:val="clear" w:color="auto" w:fill="FFFFFF"/>
          <w:lang w:val="en-US" w:eastAsia="zh-CN"/>
        </w:rPr>
      </w:pPr>
      <w:r>
        <w:rPr>
          <w:rFonts w:hint="default" w:ascii="宋体" w:hAnsi="宋体" w:eastAsia="宋体" w:cs="宋体"/>
          <w:b w:val="0"/>
          <w:bCs w:val="0"/>
          <w:sz w:val="24"/>
          <w:szCs w:val="24"/>
          <w:shd w:val="clear" w:color="auto" w:fill="FFFFFF"/>
          <w:lang w:val="en-US" w:eastAsia="zh-CN"/>
        </w:rPr>
        <w:t>（2）无偿配合对接医院三级等保建设要求。</w:t>
      </w:r>
    </w:p>
    <w:p w14:paraId="027A37D5">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outlineLvl w:val="9"/>
        <w:rPr>
          <w:rFonts w:hint="default" w:ascii="宋体" w:hAnsi="宋体" w:eastAsia="宋体" w:cs="宋体"/>
          <w:b w:val="0"/>
          <w:bCs w:val="0"/>
          <w:sz w:val="24"/>
          <w:szCs w:val="24"/>
          <w:shd w:val="clear" w:color="auto" w:fill="FFFFFF"/>
          <w:lang w:val="en-US" w:eastAsia="zh-CN"/>
        </w:rPr>
      </w:pPr>
      <w:r>
        <w:rPr>
          <w:rFonts w:hint="default" w:ascii="宋体" w:hAnsi="宋体" w:eastAsia="宋体" w:cs="宋体"/>
          <w:b w:val="0"/>
          <w:bCs w:val="0"/>
          <w:sz w:val="24"/>
          <w:szCs w:val="24"/>
          <w:shd w:val="clear" w:color="auto" w:fill="FFFFFF"/>
          <w:lang w:val="en-US" w:eastAsia="zh-CN"/>
        </w:rPr>
        <w:t>（3）系统相关软硬件及数据库确保能满足上级相关信创要求，提供规范的运行环境。</w:t>
      </w:r>
    </w:p>
    <w:p w14:paraId="05D872C0">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outlineLvl w:val="9"/>
        <w:rPr>
          <w:rFonts w:hint="default" w:ascii="宋体" w:hAnsi="宋体" w:eastAsia="宋体" w:cs="宋体"/>
          <w:b w:val="0"/>
          <w:bCs w:val="0"/>
          <w:sz w:val="24"/>
          <w:szCs w:val="24"/>
          <w:shd w:val="clear" w:color="auto" w:fill="FFFFFF"/>
          <w:lang w:val="en-US" w:eastAsia="zh-CN"/>
        </w:rPr>
      </w:pPr>
      <w:r>
        <w:rPr>
          <w:rFonts w:hint="default" w:ascii="宋体" w:hAnsi="宋体" w:eastAsia="宋体" w:cs="宋体"/>
          <w:b w:val="0"/>
          <w:bCs w:val="0"/>
          <w:sz w:val="24"/>
          <w:szCs w:val="24"/>
          <w:shd w:val="clear" w:color="auto" w:fill="FFFFFF"/>
          <w:lang w:val="en-US" w:eastAsia="zh-CN"/>
        </w:rPr>
        <w:t>（4）在未经医院授权许可的情况下，不得用医院的名义/关键字眼或任何相关地址、域名、信息等在任何网络区域、现实物理区域进行发布或展示、测试、介绍有关于本项目关联的所有系统、功能或数据信息等，须遵守所有接触到的关于医院的有形、无形资料和国家与医疗行业发布的相关保密规定内容，并提供相关承诺函加盖公章。如因乙方未遵守此条款导致医院受到直接或间接经济损失、不良社会舆论等结果，乙方须承担所有不良结果引起的所有经济责任和对应国家规定的法律法规责任。</w:t>
      </w:r>
    </w:p>
    <w:p w14:paraId="4613CCA6">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outlineLvl w:val="9"/>
        <w:rPr>
          <w:rFonts w:hint="default" w:ascii="宋体" w:hAnsi="宋体" w:eastAsia="宋体" w:cs="宋体"/>
          <w:b w:val="0"/>
          <w:bCs w:val="0"/>
          <w:sz w:val="24"/>
          <w:szCs w:val="24"/>
          <w:shd w:val="clear" w:color="auto" w:fill="FFFFFF"/>
          <w:lang w:val="en-US" w:eastAsia="zh-CN"/>
        </w:rPr>
      </w:pPr>
      <w:r>
        <w:rPr>
          <w:rFonts w:hint="default" w:ascii="宋体" w:hAnsi="宋体" w:eastAsia="宋体" w:cs="宋体"/>
          <w:b w:val="0"/>
          <w:bCs w:val="0"/>
          <w:sz w:val="24"/>
          <w:szCs w:val="24"/>
          <w:shd w:val="clear" w:color="auto" w:fill="FFFFFF"/>
          <w:lang w:val="en-US" w:eastAsia="zh-CN"/>
        </w:rPr>
        <w:t>（5）所提供的软件产品不允许包含以下任何部分:病毒，时间炸弹，特洛伊木马，蠕虫病毒或者其它非法对系统进行访问（包括删除，关闭等）的功能。严格执行医院相关安全条例，提供相关数据。</w:t>
      </w:r>
    </w:p>
    <w:p w14:paraId="5B5685A1">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outlineLvl w:val="9"/>
        <w:rPr>
          <w:rFonts w:hint="default" w:ascii="宋体" w:hAnsi="宋体" w:eastAsia="宋体" w:cs="宋体"/>
          <w:b w:val="0"/>
          <w:bCs w:val="0"/>
          <w:sz w:val="24"/>
          <w:szCs w:val="24"/>
          <w:shd w:val="clear" w:color="auto" w:fill="FFFFFF"/>
          <w:lang w:val="en-US" w:eastAsia="zh-CN"/>
        </w:rPr>
      </w:pPr>
      <w:r>
        <w:rPr>
          <w:rFonts w:hint="default" w:ascii="宋体" w:hAnsi="宋体" w:eastAsia="宋体" w:cs="宋体"/>
          <w:b w:val="0"/>
          <w:bCs w:val="0"/>
          <w:sz w:val="24"/>
          <w:szCs w:val="24"/>
          <w:shd w:val="clear" w:color="auto" w:fill="FFFFFF"/>
          <w:lang w:val="en-US" w:eastAsia="zh-CN"/>
        </w:rPr>
        <w:t>（6）验收应按照招标文件、乙方投标文件的规定或约定进行，具体如下:(1)完成全部建设内容，系统稳定运行，无未整改问题；完成自检、人员培训，满足合同其他前置条件，达到采购人要求，则双方在试运行期结束10个工作日内。由验收小组按采购文件、合同和国家有关规定规范组织项目最终验收，出具最终验收报告。(2)在项目验收前，中标人应做好验收文件，提交加盖公章的完整技术文档规范装订；包括竣工报告、设备证明、拓扑图、系统操作、维护及故障排查手册等相关技术文件，并通过采购人的审核。(3)若项目验收不通过，中标人在规定时间整改后，再行验收。若再行验收仍不通过，采购人有权解除本合同，中标人应返还全部已支付费用，并按合同总价的20%支付违约金。(4)整体验收合格以通过采购人组织的终验并签署最终验收报告为准。验收合格报告出具日为系统验收合格日，并作为计算免费维护期起止日的依据。(5)验收过程所发生的一切费用由中标人承担。</w:t>
      </w:r>
    </w:p>
    <w:p w14:paraId="4077628E">
      <w:pPr>
        <w:pStyle w:val="13"/>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ind w:firstLine="480" w:firstLineChars="200"/>
        <w:textAlignment w:val="auto"/>
        <w:outlineLvl w:val="9"/>
        <w:rPr>
          <w:rFonts w:hint="default" w:ascii="宋体" w:hAnsi="宋体" w:eastAsia="宋体" w:cs="宋体"/>
          <w:b w:val="0"/>
          <w:bCs w:val="0"/>
          <w:sz w:val="24"/>
          <w:szCs w:val="24"/>
          <w:shd w:val="clear" w:color="auto" w:fill="FFFFFF"/>
          <w:lang w:val="en-US" w:eastAsia="zh-CN"/>
        </w:rPr>
      </w:pPr>
      <w:r>
        <w:rPr>
          <w:rFonts w:hint="default" w:ascii="宋体" w:hAnsi="宋体" w:eastAsia="宋体" w:cs="宋体"/>
          <w:b w:val="0"/>
          <w:bCs w:val="0"/>
          <w:sz w:val="24"/>
          <w:szCs w:val="24"/>
          <w:shd w:val="clear" w:color="auto" w:fill="FFFFFF"/>
          <w:lang w:val="en-US" w:eastAsia="zh-CN"/>
        </w:rPr>
        <w:t>（7）质保期，自验收之日起5年。在质保期内，7*24*365天小时技术支持服务，随时解决现场可以解决的问题，现场不能解决的问题的响应时间为：根据服务需求的紧急程度，紧急服务需求响应时间为半小时，并能及时解决问题；非紧急服务需求响应时间为1小时以内。日常维护响应时间不得超过4小时。对于电话咨询无法解决的问题，经采购人信息中心授权通过远程登录进行故障诊断和排除。远程登录也未能排除故障的，乙方应提供可替代方案确保业务正常运转，并在24小时内安排人员到甲方现场服务，保证系统在最快的时间内恢复。质保期内运维服务所发生的一切费用由乙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94796"/>
    <w:multiLevelType w:val="singleLevel"/>
    <w:tmpl w:val="E4194796"/>
    <w:lvl w:ilvl="0" w:tentative="0">
      <w:start w:val="1"/>
      <w:numFmt w:val="decimal"/>
      <w:suff w:val="nothing"/>
      <w:lvlText w:val="（%1）"/>
      <w:lvlJc w:val="left"/>
    </w:lvl>
  </w:abstractNum>
  <w:abstractNum w:abstractNumId="1">
    <w:nsid w:val="2585C402"/>
    <w:multiLevelType w:val="singleLevel"/>
    <w:tmpl w:val="2585C40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TY5MDFmZmY4M2FjOGY4ZjExZmM0MjViY2NjYzQifQ=="/>
  </w:docVars>
  <w:rsids>
    <w:rsidRoot w:val="297A2DAF"/>
    <w:rsid w:val="0AAE32F6"/>
    <w:rsid w:val="116E48C1"/>
    <w:rsid w:val="1EEB314A"/>
    <w:rsid w:val="297A2DAF"/>
    <w:rsid w:val="31F12201"/>
    <w:rsid w:val="46AB7B49"/>
    <w:rsid w:val="51C60714"/>
    <w:rsid w:val="62B15864"/>
    <w:rsid w:val="65C23A09"/>
    <w:rsid w:val="6B76151E"/>
    <w:rsid w:val="6C56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4"/>
    <w:next w:val="5"/>
    <w:unhideWhenUsed/>
    <w:qFormat/>
    <w:uiPriority w:val="0"/>
    <w:pPr>
      <w:keepNext/>
      <w:keepLines/>
      <w:spacing w:before="280" w:beforeLines="0" w:beforeAutospacing="0" w:after="290" w:afterLines="0" w:afterAutospacing="0" w:line="372" w:lineRule="auto"/>
      <w:outlineLvl w:val="3"/>
    </w:pPr>
    <w:rPr>
      <w:rFonts w:ascii="Arial" w:hAnsi="Arial" w:eastAsia="黑体"/>
      <w:b w:val="0"/>
      <w:sz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pPr>
    <w:rPr>
      <w:rFonts w:hint="default" w:ascii="华文中宋" w:hAnsi="Calibri" w:eastAsia="华文中宋" w:cs="华文中宋"/>
      <w:color w:val="000000"/>
      <w:sz w:val="24"/>
      <w:szCs w:val="24"/>
      <w:lang w:val="en-US" w:eastAsia="zh-CN" w:bidi="ar-SA"/>
    </w:rPr>
  </w:style>
  <w:style w:type="paragraph" w:styleId="5">
    <w:name w:val="Body Text"/>
    <w:basedOn w:val="1"/>
    <w:next w:val="6"/>
    <w:qFormat/>
    <w:uiPriority w:val="99"/>
    <w:pPr>
      <w:ind w:left="591"/>
      <w:jc w:val="left"/>
    </w:pPr>
    <w:rPr>
      <w:rFonts w:ascii="宋体" w:hAnsi="宋体"/>
      <w:kern w:val="0"/>
      <w:sz w:val="24"/>
      <w:szCs w:val="24"/>
      <w:lang w:eastAsia="en-US"/>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1"/>
    <w:basedOn w:val="1"/>
    <w:qFormat/>
    <w:uiPriority w:val="0"/>
    <w:pPr>
      <w:tabs>
        <w:tab w:val="left" w:pos="0"/>
      </w:tabs>
      <w:spacing w:line="560" w:lineRule="exact"/>
      <w:ind w:firstLine="640" w:firstLineChars="200"/>
      <w:jc w:val="left"/>
    </w:pPr>
    <w:rPr>
      <w:rFonts w:hint="eastAsia" w:ascii="仿宋_GB2312" w:hAnsi="仿宋_GB2312" w:eastAsia="仿宋_GB2312" w:cs="Times New Roman"/>
      <w:color w:val="000000" w:themeColor="text1"/>
      <w:kern w:val="0"/>
      <w:sz w:val="32"/>
      <w:szCs w:val="32"/>
      <w:lang w:val="zh-CN"/>
      <w14:textFill>
        <w14:solidFill>
          <w14:schemeClr w14:val="tx1"/>
        </w14:solidFill>
      </w14:textFill>
    </w:rPr>
  </w:style>
  <w:style w:type="paragraph" w:customStyle="1" w:styleId="12">
    <w:name w:val="null3"/>
    <w:qFormat/>
    <w:uiPriority w:val="0"/>
    <w:rPr>
      <w:rFonts w:hint="eastAsia" w:ascii="Calibri" w:hAnsi="Calibri" w:eastAsia="宋体" w:cs="Times New Roman"/>
      <w:lang w:val="en-US" w:eastAsia="zh-CN" w:bidi="ar-SA"/>
    </w:rPr>
  </w:style>
  <w:style w:type="paragraph" w:styleId="13">
    <w:name w:val="List Paragraph"/>
    <w:basedOn w:val="1"/>
    <w:qFormat/>
    <w:uiPriority w:val="34"/>
    <w:pPr>
      <w:spacing w:before="50" w:beforeLines="50" w:after="50" w:afterLines="50"/>
    </w:pPr>
    <w:rPr>
      <w:rFonts w:ascii="黑体" w:hAnsi="黑体"/>
    </w:rPr>
  </w:style>
  <w:style w:type="paragraph" w:customStyle="1" w:styleId="14">
    <w:name w:val="表格"/>
    <w:basedOn w:val="1"/>
    <w:qFormat/>
    <w:uiPriority w:val="0"/>
    <w:pPr>
      <w:widowControl/>
      <w:spacing w:line="240" w:lineRule="auto"/>
      <w:ind w:firstLine="0" w:firstLineChars="0"/>
      <w:jc w:val="center"/>
      <w:textAlignment w:val="center"/>
    </w:pPr>
    <w:rPr>
      <w:rFonts w:hint="eastAsia" w:ascii="仿宋" w:hAnsi="仿宋" w:eastAsia="宋体"/>
      <w:bCs/>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7</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2026-03-18T08:14:00Z</dcterms:created>
  <dc:creator>信息科</dc:creator>
  <cp:lastModifiedBy>信息科</cp:lastModifiedBy>
  <dcterms:modified xsi:type="dcterms:W3CDTF">2026-03-18T09:04:45Z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F6ACE3F4376447A29D87BE4159B56F77_11</vt:lpwstr>
  </property>
</Properties>
</file>